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2" w:lineRule="auto"/>
        <w:ind w:left="2961" w:firstLine="1160" w:firstLineChars="200"/>
        <w:jc w:val="both"/>
        <w:rPr>
          <w:rFonts w:hint="eastAsia" w:ascii="仿宋" w:hAnsi="仿宋" w:eastAsia="仿宋" w:cs="仿宋"/>
          <w:color w:val="auto"/>
          <w:sz w:val="52"/>
          <w:szCs w:val="52"/>
        </w:rPr>
      </w:pPr>
      <w:r>
        <w:rPr>
          <w:rFonts w:hint="eastAsia" w:ascii="仿宋" w:hAnsi="仿宋" w:eastAsia="仿宋" w:cs="仿宋"/>
          <w:b/>
          <w:bCs/>
          <w:color w:val="auto"/>
          <w:spacing w:val="29"/>
          <w:sz w:val="52"/>
          <w:szCs w:val="52"/>
          <w:lang w:val="en-US" w:eastAsia="zh-CN"/>
        </w:rPr>
        <w:t>县委第二巡察组巡察县财政局</w:t>
      </w:r>
      <w:r>
        <w:rPr>
          <w:rFonts w:hint="eastAsia" w:ascii="仿宋" w:hAnsi="仿宋" w:eastAsia="仿宋" w:cs="仿宋"/>
          <w:b/>
          <w:bCs/>
          <w:color w:val="auto"/>
          <w:spacing w:val="29"/>
          <w:sz w:val="52"/>
          <w:szCs w:val="52"/>
        </w:rPr>
        <w:t>党组</w:t>
      </w:r>
      <w:r>
        <w:rPr>
          <w:rFonts w:hint="eastAsia" w:ascii="仿宋" w:hAnsi="仿宋" w:eastAsia="仿宋" w:cs="仿宋"/>
          <w:b/>
          <w:bCs/>
          <w:color w:val="auto"/>
          <w:spacing w:val="29"/>
          <w:sz w:val="52"/>
          <w:szCs w:val="52"/>
          <w:lang w:val="en-US" w:eastAsia="zh-CN"/>
        </w:rPr>
        <w:t>反馈意见</w:t>
      </w:r>
      <w:r>
        <w:rPr>
          <w:rFonts w:hint="eastAsia" w:ascii="仿宋" w:hAnsi="仿宋" w:eastAsia="仿宋" w:cs="仿宋"/>
          <w:b/>
          <w:bCs/>
          <w:color w:val="auto"/>
          <w:spacing w:val="29"/>
          <w:sz w:val="52"/>
          <w:szCs w:val="52"/>
        </w:rPr>
        <w:t>整改清单</w:t>
      </w:r>
    </w:p>
    <w:p>
      <w:pPr>
        <w:pStyle w:val="2"/>
        <w:spacing w:before="240" w:line="221" w:lineRule="auto"/>
        <w:ind w:left="5"/>
        <w:rPr>
          <w:rFonts w:hint="eastAsia" w:ascii="仿宋" w:hAnsi="仿宋" w:eastAsia="仿宋" w:cs="仿宋"/>
          <w:color w:val="auto"/>
          <w:sz w:val="21"/>
          <w:szCs w:val="21"/>
        </w:rPr>
      </w:pPr>
      <w:r>
        <w:rPr>
          <w:rFonts w:hint="eastAsia" w:ascii="仿宋" w:hAnsi="仿宋" w:eastAsia="仿宋" w:cs="仿宋"/>
          <w:color w:val="auto"/>
          <w:spacing w:val="-2"/>
          <w:sz w:val="21"/>
          <w:szCs w:val="21"/>
        </w:rPr>
        <w:t>单位：  (盖章)</w:t>
      </w:r>
    </w:p>
    <w:p>
      <w:pPr>
        <w:spacing w:line="68" w:lineRule="exact"/>
        <w:rPr>
          <w:rFonts w:hint="eastAsia" w:ascii="仿宋" w:hAnsi="仿宋" w:eastAsia="仿宋" w:cs="仿宋"/>
          <w:color w:val="auto"/>
          <w:sz w:val="21"/>
          <w:szCs w:val="21"/>
        </w:rPr>
      </w:pPr>
    </w:p>
    <w:tbl>
      <w:tblPr>
        <w:tblStyle w:val="6"/>
        <w:tblW w:w="20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633"/>
        <w:gridCol w:w="1125"/>
        <w:gridCol w:w="7066"/>
        <w:gridCol w:w="6480"/>
        <w:gridCol w:w="2669"/>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pStyle w:val="5"/>
              <w:spacing w:line="332" w:lineRule="auto"/>
              <w:jc w:val="center"/>
              <w:rPr>
                <w:rFonts w:hint="eastAsia" w:ascii="仿宋" w:hAnsi="仿宋" w:eastAsia="仿宋" w:cs="仿宋"/>
                <w:b/>
                <w:bCs/>
                <w:color w:val="auto"/>
                <w:sz w:val="21"/>
                <w:szCs w:val="21"/>
              </w:rPr>
            </w:pPr>
          </w:p>
          <w:p>
            <w:pPr>
              <w:spacing w:before="94" w:line="221" w:lineRule="auto"/>
              <w:ind w:left="45"/>
              <w:jc w:val="center"/>
              <w:rPr>
                <w:rFonts w:hint="eastAsia" w:ascii="仿宋" w:hAnsi="仿宋" w:eastAsia="仿宋" w:cs="仿宋"/>
                <w:b/>
                <w:bCs/>
                <w:color w:val="auto"/>
                <w:sz w:val="21"/>
                <w:szCs w:val="21"/>
              </w:rPr>
            </w:pPr>
            <w:r>
              <w:rPr>
                <w:rFonts w:hint="eastAsia" w:ascii="仿宋" w:hAnsi="仿宋" w:eastAsia="仿宋" w:cs="仿宋"/>
                <w:b/>
                <w:bCs/>
                <w:color w:val="auto"/>
                <w:spacing w:val="8"/>
                <w:sz w:val="21"/>
                <w:szCs w:val="21"/>
              </w:rPr>
              <w:t>序号</w:t>
            </w:r>
          </w:p>
        </w:tc>
        <w:tc>
          <w:tcPr>
            <w:tcW w:w="9824" w:type="dxa"/>
            <w:gridSpan w:val="3"/>
            <w:tcBorders>
              <w:left w:val="single" w:color="auto" w:sz="4" w:space="0"/>
            </w:tcBorders>
            <w:vAlign w:val="center"/>
          </w:tcPr>
          <w:p>
            <w:pPr>
              <w:spacing w:before="87" w:line="220" w:lineRule="auto"/>
              <w:ind w:left="2039"/>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问题清单</w:t>
            </w:r>
          </w:p>
        </w:tc>
        <w:tc>
          <w:tcPr>
            <w:tcW w:w="6480" w:type="dxa"/>
            <w:vAlign w:val="center"/>
          </w:tcPr>
          <w:p>
            <w:pPr>
              <w:spacing w:before="87" w:line="219" w:lineRule="auto"/>
              <w:ind w:left="855"/>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任务清单</w:t>
            </w:r>
          </w:p>
        </w:tc>
        <w:tc>
          <w:tcPr>
            <w:tcW w:w="2669" w:type="dxa"/>
            <w:vMerge w:val="restart"/>
            <w:tcBorders>
              <w:bottom w:val="nil"/>
            </w:tcBorders>
            <w:vAlign w:val="top"/>
          </w:tcPr>
          <w:p>
            <w:pPr>
              <w:spacing w:before="287" w:line="219" w:lineRule="auto"/>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责任清单</w:t>
            </w:r>
          </w:p>
        </w:tc>
        <w:tc>
          <w:tcPr>
            <w:tcW w:w="1215" w:type="dxa"/>
            <w:vMerge w:val="restart"/>
            <w:tcBorders>
              <w:bottom w:val="nil"/>
            </w:tcBorders>
            <w:vAlign w:val="top"/>
          </w:tcPr>
          <w:p>
            <w:pPr>
              <w:spacing w:before="287" w:line="219" w:lineRule="auto"/>
              <w:ind w:left="308"/>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时限要求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 w:hAnsi="仿宋" w:eastAsia="仿宋" w:cs="仿宋"/>
                <w:color w:val="auto"/>
                <w:sz w:val="21"/>
                <w:szCs w:val="21"/>
              </w:rPr>
            </w:pPr>
          </w:p>
        </w:tc>
        <w:tc>
          <w:tcPr>
            <w:tcW w:w="1633" w:type="dxa"/>
            <w:tcBorders>
              <w:left w:val="single" w:color="auto" w:sz="4" w:space="0"/>
            </w:tcBorders>
            <w:vAlign w:val="center"/>
          </w:tcPr>
          <w:p>
            <w:pPr>
              <w:spacing w:before="61" w:line="209" w:lineRule="auto"/>
              <w:ind w:left="59"/>
              <w:jc w:val="center"/>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问题类别</w:t>
            </w:r>
          </w:p>
        </w:tc>
        <w:tc>
          <w:tcPr>
            <w:tcW w:w="1125" w:type="dxa"/>
            <w:vAlign w:val="top"/>
          </w:tcPr>
          <w:p>
            <w:pPr>
              <w:spacing w:before="64" w:line="207" w:lineRule="auto"/>
              <w:ind w:left="320"/>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主要</w:t>
            </w:r>
            <w:r>
              <w:rPr>
                <w:rFonts w:hint="eastAsia" w:ascii="仿宋" w:hAnsi="仿宋" w:eastAsia="仿宋" w:cs="仿宋"/>
                <w:b/>
                <w:bCs/>
                <w:color w:val="auto"/>
                <w:spacing w:val="3"/>
                <w:sz w:val="21"/>
                <w:szCs w:val="21"/>
                <w:lang w:val="en-US" w:eastAsia="zh-CN"/>
              </w:rPr>
              <w:t xml:space="preserve">  </w:t>
            </w:r>
            <w:r>
              <w:rPr>
                <w:rFonts w:hint="eastAsia" w:ascii="仿宋" w:hAnsi="仿宋" w:eastAsia="仿宋" w:cs="仿宋"/>
                <w:b/>
                <w:bCs/>
                <w:color w:val="auto"/>
                <w:spacing w:val="3"/>
                <w:sz w:val="21"/>
                <w:szCs w:val="21"/>
              </w:rPr>
              <w:t>问题</w:t>
            </w:r>
          </w:p>
        </w:tc>
        <w:tc>
          <w:tcPr>
            <w:tcW w:w="7066" w:type="dxa"/>
            <w:vAlign w:val="center"/>
          </w:tcPr>
          <w:p>
            <w:pPr>
              <w:spacing w:before="63" w:line="208" w:lineRule="auto"/>
              <w:ind w:left="493"/>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具体问题</w:t>
            </w:r>
          </w:p>
        </w:tc>
        <w:tc>
          <w:tcPr>
            <w:tcW w:w="6480" w:type="dxa"/>
            <w:vAlign w:val="center"/>
          </w:tcPr>
          <w:p>
            <w:pPr>
              <w:spacing w:before="60" w:line="210" w:lineRule="auto"/>
              <w:ind w:left="124"/>
              <w:jc w:val="center"/>
              <w:rPr>
                <w:rFonts w:hint="eastAsia" w:ascii="仿宋" w:hAnsi="仿宋" w:eastAsia="仿宋" w:cs="仿宋"/>
                <w:b/>
                <w:bCs/>
                <w:color w:val="auto"/>
                <w:sz w:val="21"/>
                <w:szCs w:val="21"/>
              </w:rPr>
            </w:pPr>
            <w:r>
              <w:rPr>
                <w:rFonts w:hint="eastAsia" w:ascii="仿宋" w:hAnsi="仿宋" w:eastAsia="仿宋" w:cs="仿宋"/>
                <w:b/>
                <w:bCs/>
                <w:color w:val="auto"/>
                <w:spacing w:val="1"/>
                <w:sz w:val="21"/>
                <w:szCs w:val="21"/>
              </w:rPr>
              <w:t>采取的主要整改措施</w:t>
            </w:r>
          </w:p>
        </w:tc>
        <w:tc>
          <w:tcPr>
            <w:tcW w:w="2669" w:type="dxa"/>
            <w:vMerge w:val="continue"/>
            <w:tcBorders>
              <w:top w:val="nil"/>
            </w:tcBorders>
            <w:vAlign w:val="top"/>
          </w:tcPr>
          <w:p>
            <w:pPr>
              <w:pStyle w:val="5"/>
              <w:rPr>
                <w:rFonts w:hint="eastAsia" w:ascii="仿宋" w:hAnsi="仿宋" w:eastAsia="仿宋" w:cs="仿宋"/>
                <w:color w:val="auto"/>
                <w:sz w:val="21"/>
                <w:szCs w:val="21"/>
              </w:rPr>
            </w:pPr>
          </w:p>
        </w:tc>
        <w:tc>
          <w:tcPr>
            <w:tcW w:w="1215" w:type="dxa"/>
            <w:vMerge w:val="continue"/>
            <w:tcBorders>
              <w:top w:val="nil"/>
            </w:tcBorders>
            <w:vAlign w:val="top"/>
          </w:tcPr>
          <w:p>
            <w:pPr>
              <w:pStyle w:val="5"/>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705"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仿宋" w:hAnsi="仿宋" w:eastAsia="仿宋" w:cs="仿宋"/>
                <w:color w:val="auto"/>
                <w:sz w:val="21"/>
                <w:szCs w:val="21"/>
              </w:rPr>
            </w:pPr>
          </w:p>
          <w:p>
            <w:pPr>
              <w:bidi w:val="0"/>
              <w:ind w:firstLine="368" w:firstLineChars="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633" w:type="dxa"/>
            <w:vMerge w:val="restart"/>
            <w:tcBorders>
              <w:left w:val="single" w:color="auto" w:sz="4" w:space="0"/>
            </w:tcBorders>
            <w:vAlign w:val="center"/>
          </w:tcPr>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6" w:lineRule="auto"/>
              <w:jc w:val="center"/>
              <w:rPr>
                <w:rFonts w:hint="eastAsia" w:ascii="仿宋" w:hAnsi="仿宋" w:eastAsia="仿宋" w:cs="仿宋"/>
                <w:color w:val="auto"/>
                <w:sz w:val="21"/>
                <w:szCs w:val="21"/>
              </w:rPr>
            </w:pPr>
          </w:p>
          <w:p>
            <w:pPr>
              <w:pStyle w:val="5"/>
              <w:spacing w:line="257" w:lineRule="auto"/>
              <w:jc w:val="center"/>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（一）聚焦党中央决策部署以及省委、市委、县委要求落实在基层的落实情况，督促基层党组织和党员干部以实际行动做到“两个维护”方面</w:t>
            </w:r>
          </w:p>
          <w:p>
            <w:pPr>
              <w:spacing w:before="94" w:line="221" w:lineRule="auto"/>
              <w:ind w:left="130"/>
              <w:jc w:val="center"/>
              <w:rPr>
                <w:rFonts w:hint="eastAsia" w:ascii="仿宋" w:hAnsi="仿宋" w:eastAsia="仿宋" w:cs="仿宋"/>
                <w:color w:val="auto"/>
                <w:sz w:val="21"/>
                <w:szCs w:val="21"/>
              </w:rPr>
            </w:pPr>
          </w:p>
          <w:p>
            <w:pPr>
              <w:pStyle w:val="5"/>
              <w:spacing w:line="473" w:lineRule="auto"/>
              <w:jc w:val="center"/>
              <w:rPr>
                <w:rFonts w:hint="eastAsia" w:ascii="仿宋" w:hAnsi="仿宋" w:eastAsia="仿宋" w:cs="仿宋"/>
                <w:color w:val="auto"/>
                <w:sz w:val="21"/>
                <w:szCs w:val="21"/>
              </w:rPr>
            </w:pPr>
          </w:p>
          <w:p>
            <w:pPr>
              <w:spacing w:before="94" w:line="221" w:lineRule="auto"/>
              <w:ind w:left="130"/>
              <w:jc w:val="center"/>
              <w:rPr>
                <w:rFonts w:hint="eastAsia" w:ascii="仿宋" w:hAnsi="仿宋" w:eastAsia="仿宋" w:cs="仿宋"/>
                <w:color w:val="auto"/>
                <w:sz w:val="21"/>
                <w:szCs w:val="21"/>
              </w:rPr>
            </w:pPr>
          </w:p>
        </w:tc>
        <w:tc>
          <w:tcPr>
            <w:tcW w:w="1125" w:type="dxa"/>
            <w:vMerge w:val="restart"/>
            <w:vAlign w:val="bottom"/>
          </w:tcPr>
          <w:p>
            <w:pPr>
              <w:pStyle w:val="5"/>
              <w:spacing w:line="273" w:lineRule="auto"/>
              <w:jc w:val="center"/>
              <w:rPr>
                <w:rFonts w:hint="eastAsia" w:ascii="仿宋" w:hAnsi="仿宋" w:eastAsia="仿宋" w:cs="仿宋"/>
                <w:b w:val="0"/>
                <w:bCs w:val="0"/>
                <w:color w:val="auto"/>
                <w:sz w:val="21"/>
                <w:szCs w:val="21"/>
              </w:rPr>
            </w:pPr>
          </w:p>
          <w:p>
            <w:pPr>
              <w:pStyle w:val="5"/>
              <w:spacing w:line="274" w:lineRule="auto"/>
              <w:jc w:val="center"/>
              <w:rPr>
                <w:rFonts w:hint="eastAsia" w:ascii="仿宋" w:hAnsi="仿宋" w:eastAsia="仿宋" w:cs="仿宋"/>
                <w:b w:val="0"/>
                <w:bCs w:val="0"/>
                <w:color w:val="auto"/>
                <w:sz w:val="21"/>
                <w:szCs w:val="21"/>
              </w:rPr>
            </w:pPr>
          </w:p>
          <w:p>
            <w:pPr>
              <w:pStyle w:val="5"/>
              <w:spacing w:line="274" w:lineRule="auto"/>
              <w:jc w:val="center"/>
              <w:rPr>
                <w:rFonts w:hint="eastAsia" w:ascii="仿宋" w:hAnsi="仿宋" w:eastAsia="仿宋" w:cs="仿宋"/>
                <w:b w:val="0"/>
                <w:bCs w:val="0"/>
                <w:color w:val="auto"/>
                <w:sz w:val="21"/>
                <w:szCs w:val="21"/>
              </w:rPr>
            </w:pPr>
          </w:p>
          <w:p>
            <w:pPr>
              <w:spacing w:before="68" w:line="184" w:lineRule="auto"/>
              <w:jc w:val="both"/>
              <w:rPr>
                <w:rFonts w:hint="eastAsia" w:ascii="仿宋" w:hAnsi="仿宋" w:eastAsia="仿宋" w:cs="仿宋"/>
                <w:b/>
                <w:bCs/>
                <w:color w:val="auto"/>
                <w:sz w:val="21"/>
                <w:szCs w:val="21"/>
                <w:lang w:val="en-US" w:eastAsia="zh-CN"/>
              </w:rPr>
            </w:pPr>
          </w:p>
          <w:p>
            <w:pPr>
              <w:spacing w:before="68" w:line="184" w:lineRule="auto"/>
              <w:jc w:val="center"/>
              <w:rPr>
                <w:rFonts w:hint="eastAsia" w:ascii="仿宋" w:hAnsi="仿宋" w:eastAsia="仿宋" w:cs="仿宋"/>
                <w:b/>
                <w:bCs/>
                <w:color w:val="auto"/>
                <w:sz w:val="21"/>
                <w:szCs w:val="21"/>
                <w:lang w:val="en-US" w:eastAsia="zh-CN"/>
              </w:rPr>
            </w:pPr>
          </w:p>
          <w:p>
            <w:pPr>
              <w:spacing w:before="68" w:line="184" w:lineRule="auto"/>
              <w:jc w:val="center"/>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lang w:val="en-US" w:eastAsia="zh-CN"/>
              </w:rPr>
              <w:t xml:space="preserve">  1、政治理论学习重视不够</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128905</wp:posOffset>
                      </wp:positionV>
                      <wp:extent cx="83820" cy="80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80645"/>
                              </a:xfrm>
                              <a:prstGeom prst="rect">
                                <a:avLst/>
                              </a:prstGeom>
                              <a:noFill/>
                              <a:ln>
                                <a:noFill/>
                              </a:ln>
                            </wps:spPr>
                            <wps:txbx>
                              <w:txbxContent>
                                <w:p>
                                  <w:pPr>
                                    <w:spacing w:before="20" w:line="86" w:lineRule="exact"/>
                                    <w:ind w:left="20"/>
                                    <w:rPr>
                                      <w:rFonts w:ascii="宋体" w:hAnsi="宋体" w:eastAsia="宋体" w:cs="宋体"/>
                                      <w:sz w:val="21"/>
                                      <w:szCs w:val="21"/>
                                    </w:rPr>
                                  </w:pPr>
                                  <w:r>
                                    <w:rPr>
                                      <w:rFonts w:ascii="宋体" w:hAnsi="宋体" w:eastAsia="宋体" w:cs="宋体"/>
                                      <w:position w:val="1"/>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3.5pt;margin-top:10.15pt;height:6.35pt;width:6.6pt;z-index:251659264;mso-width-relative:page;mso-height-relative:page;" filled="f" stroked="f" coordsize="21600,21600" o:gfxdata="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9T81QAAAAYBAAAPAAAAAAAAAAEAIAAAACIAAABkcnMvZG93bnJldi54bWxQSwECFAAUAAAA&#10;CACHTuJAkAEpV7gBAABvAwAADgAAAAAAAAABACAAAAAkAQAAZHJzL2Uyb0RvYy54bWxQSwUGAAAA&#10;AAYABgBZAQAATgUAAAAA&#10;">
                      <v:fill on="f" focussize="0,0"/>
                      <v:stroke on="f"/>
                      <v:imagedata o:title=""/>
                      <o:lock v:ext="edit" aspectratio="f"/>
                      <v:textbox inset="0mm,0mm,0mm,0mm">
                        <w:txbxContent>
                          <w:p>
                            <w:pPr>
                              <w:spacing w:before="20" w:line="86" w:lineRule="exact"/>
                              <w:ind w:left="20"/>
                              <w:rPr>
                                <w:rFonts w:ascii="宋体" w:hAnsi="宋体" w:eastAsia="宋体" w:cs="宋体"/>
                                <w:sz w:val="21"/>
                                <w:szCs w:val="21"/>
                              </w:rPr>
                            </w:pPr>
                            <w:r>
                              <w:rPr>
                                <w:rFonts w:ascii="宋体" w:hAnsi="宋体" w:eastAsia="宋体" w:cs="宋体"/>
                                <w:position w:val="1"/>
                                <w:sz w:val="21"/>
                                <w:szCs w:val="21"/>
                              </w:rPr>
                              <w:t>.</w:t>
                            </w:r>
                          </w:p>
                        </w:txbxContent>
                      </v:textbox>
                    </v:shape>
                  </w:pict>
                </mc:Fallback>
              </mc:AlternateContent>
            </w:r>
          </w:p>
        </w:tc>
        <w:tc>
          <w:tcPr>
            <w:tcW w:w="7066" w:type="dxa"/>
            <w:vAlign w:val="top"/>
          </w:tcPr>
          <w:p>
            <w:pPr>
              <w:spacing w:before="94" w:line="221" w:lineRule="auto"/>
              <w:ind w:firstLine="422" w:firstLineChars="200"/>
              <w:rPr>
                <w:rFonts w:hint="eastAsia" w:ascii="仿宋" w:hAnsi="仿宋" w:eastAsia="仿宋" w:cs="仿宋"/>
                <w:color w:val="auto"/>
                <w:sz w:val="21"/>
                <w:szCs w:val="21"/>
              </w:rPr>
            </w:pPr>
            <w:r>
              <w:rPr>
                <w:rFonts w:hint="eastAsia" w:ascii="仿宋" w:hAnsi="仿宋" w:eastAsia="仿宋" w:cs="仿宋"/>
                <w:b/>
                <w:bCs/>
                <w:color w:val="auto"/>
                <w:sz w:val="21"/>
                <w:szCs w:val="21"/>
                <w:lang w:val="en-US" w:eastAsia="zh-CN"/>
              </w:rPr>
              <w:t>一是</w:t>
            </w:r>
            <w:r>
              <w:rPr>
                <w:rFonts w:hint="eastAsia" w:ascii="仿宋" w:hAnsi="仿宋" w:eastAsia="仿宋" w:cs="仿宋"/>
                <w:b w:val="0"/>
                <w:bCs w:val="0"/>
                <w:color w:val="auto"/>
                <w:sz w:val="21"/>
                <w:szCs w:val="21"/>
                <w:lang w:val="en-US" w:eastAsia="zh-CN"/>
              </w:rPr>
              <w:t>学习存在实用主义。重视专业知识的学习，对政治理论、经济政策学习少，特别对</w:t>
            </w:r>
            <w:r>
              <w:rPr>
                <w:rFonts w:hint="eastAsia" w:ascii="仿宋" w:hAnsi="仿宋" w:eastAsia="仿宋" w:cs="仿宋"/>
                <w:b w:val="0"/>
                <w:bCs/>
                <w:color w:val="auto"/>
                <w:sz w:val="21"/>
                <w:szCs w:val="21"/>
                <w:lang w:val="en-US" w:eastAsia="zh-CN"/>
              </w:rPr>
              <w:t>习近平经济思想和中、省、市、县各级经济工作会议决策部署和要求学习贯彻的</w:t>
            </w:r>
            <w:r>
              <w:rPr>
                <w:rFonts w:hint="eastAsia" w:ascii="仿宋" w:hAnsi="仿宋" w:eastAsia="仿宋" w:cs="仿宋"/>
                <w:b w:val="0"/>
                <w:bCs w:val="0"/>
                <w:color w:val="auto"/>
                <w:sz w:val="21"/>
                <w:szCs w:val="21"/>
                <w:lang w:val="en-US" w:eastAsia="zh-CN"/>
              </w:rPr>
              <w:t>少，在完整、准确、全面贯彻新发展理念，推动县域经济高质量发展谋划不深、措施不多。</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一是配置党建办主任，采取每次党组会议都要安排最新的</w:t>
            </w:r>
            <w:r>
              <w:rPr>
                <w:rFonts w:hint="eastAsia" w:ascii="仿宋" w:hAnsi="仿宋" w:eastAsia="仿宋" w:cs="仿宋"/>
                <w:b w:val="0"/>
                <w:bCs w:val="0"/>
                <w:color w:val="auto"/>
                <w:sz w:val="21"/>
                <w:szCs w:val="21"/>
                <w:lang w:val="en-US" w:eastAsia="zh-CN"/>
              </w:rPr>
              <w:t>政治理论和经济政策学习内容，特别是</w:t>
            </w:r>
            <w:r>
              <w:rPr>
                <w:rFonts w:hint="eastAsia" w:ascii="仿宋" w:hAnsi="仿宋" w:eastAsia="仿宋" w:cs="仿宋"/>
                <w:b w:val="0"/>
                <w:bCs/>
                <w:color w:val="auto"/>
                <w:sz w:val="21"/>
                <w:szCs w:val="21"/>
                <w:lang w:val="en-US" w:eastAsia="zh-CN"/>
              </w:rPr>
              <w:t>习近平经济思想和中、省、市、县各级经济工作会议决策部署都要</w:t>
            </w:r>
            <w:r>
              <w:rPr>
                <w:rFonts w:hint="eastAsia" w:ascii="仿宋" w:hAnsi="仿宋" w:eastAsia="仿宋" w:cs="仿宋"/>
                <w:b w:val="0"/>
                <w:bCs w:val="0"/>
                <w:color w:val="auto"/>
                <w:sz w:val="21"/>
                <w:szCs w:val="21"/>
                <w:lang w:val="en-US" w:eastAsia="zh-CN"/>
              </w:rPr>
              <w:t>以书面形式打印发给每位党组成员，把党组理论学习中心组学习会议记录与党组研究决策事项会议记录分开记录，每位党组成员也要将学习笔记与开会笔记分开记录；二是用完整、准确、全面贯彻新发展理念开展专题调研，集中培训，策划包装重点项目向上争资，全力推动县域经济高质量发展。</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r>
              <w:rPr>
                <w:rFonts w:hint="eastAsia" w:ascii="仿宋" w:hAnsi="仿宋" w:eastAsia="仿宋" w:cs="仿宋"/>
                <w:color w:val="auto"/>
                <w:spacing w:val="-1"/>
                <w:position w:val="6"/>
                <w:sz w:val="21"/>
                <w:szCs w:val="21"/>
                <w:lang w:val="en-US" w:eastAsia="zh-CN"/>
              </w:rPr>
              <w:t xml:space="preserve"> </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b w:val="0"/>
                <w:bCs w:val="0"/>
                <w:snapToGrid w:val="0"/>
                <w:color w:val="auto"/>
                <w:kern w:val="0"/>
                <w:sz w:val="21"/>
                <w:szCs w:val="21"/>
                <w:lang w:val="en-US" w:eastAsia="zh-CN" w:bidi="ar-SA"/>
              </w:rPr>
            </w:pPr>
            <w:r>
              <w:rPr>
                <w:rFonts w:hint="eastAsia" w:ascii="仿宋" w:hAnsi="仿宋" w:eastAsia="仿宋" w:cs="仿宋"/>
                <w:color w:val="auto"/>
                <w:spacing w:val="-1"/>
                <w:sz w:val="21"/>
                <w:szCs w:val="21"/>
              </w:rPr>
              <w:t>牵头单位：</w:t>
            </w:r>
            <w:r>
              <w:rPr>
                <w:rFonts w:hint="eastAsia" w:ascii="仿宋" w:hAnsi="仿宋" w:eastAsia="仿宋" w:cs="仿宋"/>
                <w:b w:val="0"/>
                <w:bCs w:val="0"/>
                <w:snapToGrid w:val="0"/>
                <w:color w:val="auto"/>
                <w:kern w:val="0"/>
                <w:sz w:val="21"/>
                <w:szCs w:val="21"/>
                <w:lang w:val="en-US" w:eastAsia="zh-CN" w:bidi="ar-SA"/>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整改责任人：各局党组成员和各股所主要负责人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633" w:type="dxa"/>
            <w:vMerge w:val="continue"/>
            <w:tcBorders>
              <w:left w:val="single" w:color="auto" w:sz="4" w:space="0"/>
            </w:tcBorders>
            <w:vAlign w:val="center"/>
          </w:tcPr>
          <w:p>
            <w:pPr>
              <w:pStyle w:val="5"/>
              <w:jc w:val="center"/>
              <w:rPr>
                <w:rFonts w:hint="eastAsia" w:ascii="仿宋" w:hAnsi="仿宋" w:eastAsia="仿宋" w:cs="仿宋"/>
                <w:color w:val="auto"/>
                <w:sz w:val="21"/>
                <w:szCs w:val="21"/>
              </w:rPr>
            </w:pPr>
          </w:p>
        </w:tc>
        <w:tc>
          <w:tcPr>
            <w:tcW w:w="1125" w:type="dxa"/>
            <w:vMerge w:val="continue"/>
            <w:vAlign w:val="top"/>
          </w:tcPr>
          <w:p>
            <w:pPr>
              <w:pStyle w:val="5"/>
              <w:rPr>
                <w:rFonts w:hint="eastAsia" w:ascii="仿宋" w:hAnsi="仿宋" w:eastAsia="仿宋" w:cs="仿宋"/>
                <w:b w:val="0"/>
                <w:bCs w:val="0"/>
                <w:color w:val="auto"/>
                <w:sz w:val="21"/>
                <w:szCs w:val="21"/>
              </w:rPr>
            </w:pPr>
          </w:p>
        </w:tc>
        <w:tc>
          <w:tcPr>
            <w:tcW w:w="7066" w:type="dxa"/>
            <w:vAlign w:val="top"/>
          </w:tcPr>
          <w:p>
            <w:pPr>
              <w:spacing w:before="94" w:line="221" w:lineRule="auto"/>
              <w:ind w:firstLine="420" w:firstLineChars="200"/>
              <w:rPr>
                <w:rFonts w:hint="eastAsia" w:ascii="仿宋" w:hAnsi="仿宋" w:eastAsia="仿宋" w:cs="仿宋"/>
                <w:color w:val="auto"/>
                <w:sz w:val="21"/>
                <w:szCs w:val="21"/>
              </w:rPr>
            </w:pPr>
            <w:r>
              <w:rPr>
                <w:rFonts w:hint="eastAsia" w:ascii="仿宋" w:hAnsi="仿宋" w:eastAsia="仿宋" w:cs="仿宋"/>
                <w:b w:val="0"/>
                <w:bCs w:val="0"/>
                <w:color w:val="auto"/>
                <w:sz w:val="21"/>
                <w:szCs w:val="21"/>
                <w:lang w:val="en-US" w:eastAsia="zh-CN"/>
              </w:rPr>
              <w:t>二</w:t>
            </w:r>
            <w:r>
              <w:rPr>
                <w:rFonts w:hint="eastAsia" w:ascii="仿宋" w:hAnsi="仿宋" w:eastAsia="仿宋" w:cs="仿宋"/>
                <w:b/>
                <w:bCs w:val="0"/>
                <w:color w:val="auto"/>
                <w:sz w:val="21"/>
                <w:szCs w:val="21"/>
                <w:lang w:val="en-US" w:eastAsia="zh-CN"/>
              </w:rPr>
              <w:t>是</w:t>
            </w:r>
            <w:r>
              <w:rPr>
                <w:rFonts w:hint="eastAsia" w:ascii="仿宋" w:hAnsi="仿宋" w:eastAsia="仿宋" w:cs="仿宋"/>
                <w:color w:val="auto"/>
                <w:sz w:val="21"/>
                <w:szCs w:val="21"/>
                <w:highlight w:val="none"/>
                <w:lang w:eastAsia="zh-CN"/>
              </w:rPr>
              <w:t>党组理论学习中心组</w:t>
            </w:r>
            <w:r>
              <w:rPr>
                <w:rFonts w:hint="eastAsia" w:ascii="仿宋" w:hAnsi="仿宋" w:eastAsia="仿宋" w:cs="仿宋"/>
                <w:color w:val="auto"/>
                <w:sz w:val="21"/>
                <w:szCs w:val="21"/>
                <w:highlight w:val="none"/>
                <w:lang w:val="en-US" w:eastAsia="zh-CN"/>
              </w:rPr>
              <w:t>学习不扎实。</w:t>
            </w:r>
            <w:r>
              <w:rPr>
                <w:rFonts w:hint="eastAsia" w:ascii="仿宋" w:hAnsi="仿宋" w:eastAsia="仿宋" w:cs="仿宋"/>
                <w:color w:val="auto"/>
                <w:sz w:val="21"/>
                <w:szCs w:val="21"/>
                <w:highlight w:val="none"/>
              </w:rPr>
              <w:t>2022年计划</w:t>
            </w:r>
            <w:r>
              <w:rPr>
                <w:rFonts w:hint="eastAsia" w:ascii="仿宋" w:hAnsi="仿宋" w:eastAsia="仿宋" w:cs="仿宋"/>
                <w:color w:val="auto"/>
                <w:sz w:val="21"/>
                <w:szCs w:val="21"/>
                <w:highlight w:val="none"/>
                <w:lang w:eastAsia="zh-CN"/>
              </w:rPr>
              <w:t>学习</w:t>
            </w:r>
            <w:r>
              <w:rPr>
                <w:rFonts w:hint="eastAsia" w:ascii="仿宋" w:hAnsi="仿宋" w:eastAsia="仿宋" w:cs="仿宋"/>
                <w:color w:val="auto"/>
                <w:sz w:val="21"/>
                <w:szCs w:val="21"/>
                <w:highlight w:val="none"/>
              </w:rPr>
              <w:t>12次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实际安排7次</w:t>
            </w:r>
            <w:r>
              <w:rPr>
                <w:rFonts w:hint="eastAsia" w:ascii="仿宋" w:hAnsi="仿宋" w:eastAsia="仿宋" w:cs="仿宋"/>
                <w:b w:val="0"/>
                <w:bCs w:val="0"/>
                <w:color w:val="auto"/>
                <w:sz w:val="21"/>
                <w:szCs w:val="21"/>
                <w:highlight w:val="none"/>
              </w:rPr>
              <w:t>。</w:t>
            </w:r>
          </w:p>
        </w:tc>
        <w:tc>
          <w:tcPr>
            <w:tcW w:w="6480" w:type="dxa"/>
            <w:vAlign w:val="top"/>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一是</w:t>
            </w:r>
            <w:r>
              <w:rPr>
                <w:rFonts w:hint="eastAsia" w:ascii="仿宋" w:hAnsi="仿宋" w:eastAsia="仿宋" w:cs="仿宋"/>
                <w:color w:val="auto"/>
                <w:sz w:val="21"/>
                <w:szCs w:val="21"/>
                <w:highlight w:val="none"/>
                <w:lang w:eastAsia="zh-CN"/>
              </w:rPr>
              <w:t>党组理论学习中心组利用晚上等时间补学</w:t>
            </w:r>
            <w:r>
              <w:rPr>
                <w:rFonts w:hint="eastAsia" w:ascii="仿宋" w:hAnsi="仿宋" w:eastAsia="仿宋" w:cs="仿宋"/>
                <w:color w:val="auto"/>
                <w:sz w:val="21"/>
                <w:szCs w:val="21"/>
                <w:highlight w:val="none"/>
                <w:lang w:val="en-US" w:eastAsia="zh-CN"/>
              </w:rPr>
              <w:t>7次；二是督促党员干部重点学习落下的集中学习内容；三是今后年份计划学习12次，必须安排学习12次以上。</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r>
              <w:rPr>
                <w:rFonts w:hint="eastAsia" w:ascii="仿宋" w:hAnsi="仿宋" w:eastAsia="仿宋" w:cs="仿宋"/>
                <w:color w:val="auto"/>
                <w:spacing w:val="-1"/>
                <w:position w:val="6"/>
                <w:sz w:val="21"/>
                <w:szCs w:val="21"/>
                <w:lang w:val="en-US" w:eastAsia="zh-CN"/>
              </w:rPr>
              <w:t xml:space="preserve"> </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全局各股所整改责任人：各局党组成员和各股所主要负责人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633" w:type="dxa"/>
            <w:vMerge w:val="continue"/>
            <w:tcBorders>
              <w:left w:val="single" w:color="auto" w:sz="4" w:space="0"/>
            </w:tcBorders>
            <w:vAlign w:val="center"/>
          </w:tcPr>
          <w:p>
            <w:pPr>
              <w:pStyle w:val="5"/>
              <w:jc w:val="center"/>
              <w:rPr>
                <w:rFonts w:hint="eastAsia" w:ascii="仿宋" w:hAnsi="仿宋" w:eastAsia="仿宋" w:cs="仿宋"/>
                <w:color w:val="auto"/>
                <w:sz w:val="21"/>
                <w:szCs w:val="21"/>
              </w:rPr>
            </w:pPr>
          </w:p>
        </w:tc>
        <w:tc>
          <w:tcPr>
            <w:tcW w:w="1125" w:type="dxa"/>
            <w:vMerge w:val="continue"/>
            <w:vAlign w:val="top"/>
          </w:tcPr>
          <w:p>
            <w:pPr>
              <w:pStyle w:val="5"/>
              <w:rPr>
                <w:rFonts w:hint="eastAsia" w:ascii="仿宋" w:hAnsi="仿宋" w:eastAsia="仿宋" w:cs="仿宋"/>
                <w:b w:val="0"/>
                <w:bCs w:val="0"/>
                <w:color w:val="auto"/>
                <w:sz w:val="21"/>
                <w:szCs w:val="21"/>
              </w:rPr>
            </w:pPr>
          </w:p>
        </w:tc>
        <w:tc>
          <w:tcPr>
            <w:tcW w:w="7066" w:type="dxa"/>
            <w:vAlign w:val="top"/>
          </w:tcPr>
          <w:p>
            <w:pPr>
              <w:keepNext w:val="0"/>
              <w:keepLines w:val="0"/>
              <w:pageBreakBefore w:val="0"/>
              <w:widowControl w:val="0"/>
              <w:tabs>
                <w:tab w:val="left" w:pos="312"/>
              </w:tabs>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三</w:t>
            </w:r>
            <w:r>
              <w:rPr>
                <w:rFonts w:hint="eastAsia" w:ascii="仿宋" w:hAnsi="仿宋" w:eastAsia="仿宋" w:cs="仿宋"/>
                <w:b/>
                <w:bCs w:val="0"/>
                <w:color w:val="auto"/>
                <w:sz w:val="21"/>
                <w:szCs w:val="21"/>
                <w:highlight w:val="none"/>
                <w:lang w:val="en-US" w:eastAsia="zh-CN"/>
              </w:rPr>
              <w:t>是</w:t>
            </w:r>
            <w:r>
              <w:rPr>
                <w:rFonts w:hint="eastAsia" w:ascii="仿宋" w:hAnsi="仿宋" w:eastAsia="仿宋" w:cs="仿宋"/>
                <w:b w:val="0"/>
                <w:bCs/>
                <w:color w:val="auto"/>
                <w:sz w:val="21"/>
                <w:szCs w:val="21"/>
                <w:highlight w:val="none"/>
                <w:lang w:val="en-US" w:eastAsia="zh-CN"/>
              </w:rPr>
              <w:t>学习流于形式。部分领导干部</w:t>
            </w:r>
            <w:r>
              <w:rPr>
                <w:rFonts w:hint="eastAsia" w:ascii="仿宋" w:hAnsi="仿宋" w:eastAsia="仿宋" w:cs="仿宋"/>
                <w:color w:val="auto"/>
                <w:sz w:val="21"/>
                <w:szCs w:val="21"/>
                <w:lang w:val="en-US" w:eastAsia="zh-CN"/>
              </w:rPr>
              <w:t>学习</w:t>
            </w:r>
            <w:r>
              <w:rPr>
                <w:rFonts w:hint="eastAsia" w:ascii="仿宋" w:hAnsi="仿宋" w:eastAsia="仿宋" w:cs="仿宋"/>
                <w:color w:val="auto"/>
                <w:sz w:val="21"/>
                <w:szCs w:val="21"/>
              </w:rPr>
              <w:t>笔记</w:t>
            </w:r>
            <w:r>
              <w:rPr>
                <w:rFonts w:hint="eastAsia" w:ascii="仿宋" w:hAnsi="仿宋" w:eastAsia="仿宋" w:cs="仿宋"/>
                <w:color w:val="auto"/>
                <w:sz w:val="21"/>
                <w:szCs w:val="21"/>
                <w:lang w:val="en-US" w:eastAsia="zh-CN"/>
              </w:rPr>
              <w:t>凌乱，党的创新理论</w:t>
            </w:r>
            <w:r>
              <w:rPr>
                <w:rFonts w:hint="eastAsia" w:ascii="仿宋" w:hAnsi="仿宋" w:eastAsia="仿宋" w:cs="仿宋"/>
                <w:color w:val="auto"/>
                <w:sz w:val="21"/>
                <w:szCs w:val="21"/>
              </w:rPr>
              <w:t>学习内容</w:t>
            </w:r>
            <w:r>
              <w:rPr>
                <w:rFonts w:hint="eastAsia" w:ascii="仿宋" w:hAnsi="仿宋" w:eastAsia="仿宋" w:cs="仿宋"/>
                <w:color w:val="auto"/>
                <w:sz w:val="21"/>
                <w:szCs w:val="21"/>
                <w:lang w:val="en-US" w:eastAsia="zh-CN"/>
              </w:rPr>
              <w:t>更新不及时</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lang w:val="en-US" w:eastAsia="zh-CN"/>
              </w:rPr>
              <w:t>街</w:t>
            </w:r>
            <w:r>
              <w:rPr>
                <w:rFonts w:hint="eastAsia" w:ascii="仿宋" w:hAnsi="仿宋" w:eastAsia="仿宋" w:cs="仿宋"/>
                <w:b w:val="0"/>
                <w:bCs w:val="0"/>
                <w:color w:val="auto"/>
                <w:sz w:val="21"/>
                <w:szCs w:val="21"/>
                <w:lang w:eastAsia="zh-CN"/>
              </w:rPr>
              <w:t>镇财政</w:t>
            </w:r>
            <w:r>
              <w:rPr>
                <w:rFonts w:hint="eastAsia" w:ascii="仿宋" w:hAnsi="仿宋" w:eastAsia="仿宋" w:cs="仿宋"/>
                <w:b w:val="0"/>
                <w:bCs w:val="0"/>
                <w:color w:val="auto"/>
                <w:sz w:val="21"/>
                <w:szCs w:val="21"/>
                <w:lang w:val="en-US" w:eastAsia="zh-CN"/>
              </w:rPr>
              <w:t>所集体学习的</w:t>
            </w:r>
            <w:r>
              <w:rPr>
                <w:rFonts w:hint="eastAsia" w:ascii="仿宋" w:hAnsi="仿宋" w:eastAsia="仿宋" w:cs="仿宋"/>
                <w:b w:val="0"/>
                <w:bCs w:val="0"/>
                <w:color w:val="auto"/>
                <w:sz w:val="21"/>
                <w:szCs w:val="21"/>
                <w:lang w:eastAsia="zh-CN"/>
              </w:rPr>
              <w:t>会议记录</w:t>
            </w:r>
            <w:r>
              <w:rPr>
                <w:rFonts w:hint="eastAsia" w:ascii="仿宋" w:hAnsi="仿宋" w:eastAsia="仿宋" w:cs="仿宋"/>
                <w:b w:val="0"/>
                <w:bCs w:val="0"/>
                <w:color w:val="auto"/>
                <w:sz w:val="21"/>
                <w:szCs w:val="21"/>
                <w:lang w:val="en-US" w:eastAsia="zh-CN"/>
              </w:rPr>
              <w:t>与干部</w:t>
            </w:r>
            <w:r>
              <w:rPr>
                <w:rFonts w:hint="eastAsia" w:ascii="仿宋" w:hAnsi="仿宋" w:eastAsia="仿宋" w:cs="仿宋"/>
                <w:b w:val="0"/>
                <w:bCs w:val="0"/>
                <w:color w:val="auto"/>
                <w:sz w:val="21"/>
                <w:szCs w:val="21"/>
                <w:lang w:eastAsia="zh-CN"/>
              </w:rPr>
              <w:t>个人学习笔记</w:t>
            </w:r>
            <w:r>
              <w:rPr>
                <w:rFonts w:hint="eastAsia" w:ascii="仿宋" w:hAnsi="仿宋" w:eastAsia="仿宋" w:cs="仿宋"/>
                <w:b w:val="0"/>
                <w:bCs w:val="0"/>
                <w:color w:val="auto"/>
                <w:sz w:val="21"/>
                <w:szCs w:val="21"/>
                <w:lang w:val="en-US" w:eastAsia="zh-CN"/>
              </w:rPr>
              <w:t>内容不一致，存在补写会议记录问题</w:t>
            </w:r>
            <w:r>
              <w:rPr>
                <w:rFonts w:hint="eastAsia" w:ascii="仿宋" w:hAnsi="仿宋" w:eastAsia="仿宋" w:cs="仿宋"/>
                <w:b w:val="0"/>
                <w:bCs w:val="0"/>
                <w:color w:val="auto"/>
                <w:sz w:val="21"/>
                <w:szCs w:val="21"/>
                <w:lang w:eastAsia="zh-CN"/>
              </w:rPr>
              <w:t>。</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督促部分财政所领导干部将学习笔记和会议记录分别记录，及时更新党的创新理论学习内容；二是财政所集体学习会议和研究决策事项会议记录分成两类会议记录本，包括干部个人也要分开记录；三是利用时间进行补学。</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罗有随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乡财股</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各财政与统计所</w:t>
            </w:r>
          </w:p>
          <w:p>
            <w:pPr>
              <w:spacing w:before="48" w:line="220"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lang w:eastAsia="zh-CN"/>
              </w:rPr>
              <w:t>整改责任人：各财政与统计所所长</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633" w:type="dxa"/>
            <w:vMerge w:val="continue"/>
            <w:tcBorders>
              <w:left w:val="single" w:color="auto" w:sz="4" w:space="0"/>
            </w:tcBorders>
            <w:vAlign w:val="center"/>
          </w:tcPr>
          <w:p>
            <w:pPr>
              <w:pStyle w:val="5"/>
              <w:jc w:val="center"/>
              <w:rPr>
                <w:rFonts w:hint="eastAsia" w:ascii="仿宋" w:hAnsi="仿宋" w:eastAsia="仿宋" w:cs="仿宋"/>
                <w:color w:val="auto"/>
                <w:sz w:val="21"/>
                <w:szCs w:val="21"/>
              </w:rPr>
            </w:pPr>
          </w:p>
        </w:tc>
        <w:tc>
          <w:tcPr>
            <w:tcW w:w="1125" w:type="dxa"/>
            <w:vMerge w:val="restart"/>
            <w:vAlign w:val="top"/>
          </w:tcPr>
          <w:p>
            <w:pPr>
              <w:pStyle w:val="5"/>
              <w:spacing w:line="273" w:lineRule="auto"/>
              <w:rPr>
                <w:rFonts w:hint="eastAsia" w:ascii="仿宋" w:hAnsi="仿宋" w:eastAsia="仿宋" w:cs="仿宋"/>
                <w:b w:val="0"/>
                <w:bCs w:val="0"/>
                <w:color w:val="auto"/>
                <w:sz w:val="21"/>
                <w:szCs w:val="21"/>
              </w:rPr>
            </w:pPr>
          </w:p>
          <w:p>
            <w:pPr>
              <w:pStyle w:val="5"/>
              <w:spacing w:line="273" w:lineRule="auto"/>
              <w:rPr>
                <w:rFonts w:hint="eastAsia" w:ascii="仿宋" w:hAnsi="仿宋" w:eastAsia="仿宋" w:cs="仿宋"/>
                <w:b w:val="0"/>
                <w:bCs w:val="0"/>
                <w:color w:val="auto"/>
                <w:sz w:val="21"/>
                <w:szCs w:val="21"/>
              </w:rPr>
            </w:pPr>
          </w:p>
          <w:p>
            <w:pPr>
              <w:pStyle w:val="5"/>
              <w:spacing w:line="273" w:lineRule="auto"/>
              <w:rPr>
                <w:rFonts w:hint="eastAsia" w:ascii="仿宋" w:hAnsi="仿宋" w:eastAsia="仿宋" w:cs="仿宋"/>
                <w:b w:val="0"/>
                <w:bCs w:val="0"/>
                <w:color w:val="auto"/>
                <w:sz w:val="21"/>
                <w:szCs w:val="21"/>
              </w:rPr>
            </w:pPr>
          </w:p>
          <w:p>
            <w:pPr>
              <w:pStyle w:val="5"/>
              <w:spacing w:line="274" w:lineRule="auto"/>
              <w:rPr>
                <w:rFonts w:hint="eastAsia" w:ascii="仿宋" w:hAnsi="仿宋" w:eastAsia="仿宋" w:cs="仿宋"/>
                <w:b w:val="0"/>
                <w:bCs w:val="0"/>
                <w:color w:val="auto"/>
                <w:sz w:val="21"/>
                <w:szCs w:val="21"/>
              </w:rPr>
            </w:pPr>
          </w:p>
          <w:p>
            <w:pPr>
              <w:spacing w:before="94" w:line="238" w:lineRule="auto"/>
              <w:ind w:left="90"/>
              <w:rPr>
                <w:rFonts w:hint="eastAsia" w:ascii="仿宋" w:hAnsi="仿宋" w:eastAsia="仿宋" w:cs="仿宋"/>
                <w:b w:val="0"/>
                <w:bCs w:val="0"/>
                <w:color w:val="auto"/>
                <w:spacing w:val="-49"/>
                <w:sz w:val="21"/>
                <w:szCs w:val="21"/>
              </w:rPr>
            </w:pPr>
          </w:p>
          <w:p>
            <w:pPr>
              <w:spacing w:before="94" w:line="238" w:lineRule="auto"/>
              <w:ind w:left="90"/>
              <w:rPr>
                <w:rFonts w:hint="eastAsia" w:ascii="仿宋" w:hAnsi="仿宋" w:eastAsia="仿宋" w:cs="仿宋"/>
                <w:b w:val="0"/>
                <w:bCs w:val="0"/>
                <w:color w:val="auto"/>
                <w:spacing w:val="-49"/>
                <w:sz w:val="21"/>
                <w:szCs w:val="21"/>
              </w:rPr>
            </w:pPr>
          </w:p>
          <w:p>
            <w:pPr>
              <w:spacing w:before="94" w:line="238" w:lineRule="auto"/>
              <w:ind w:left="90" w:firstLine="226" w:firstLineChars="200"/>
              <w:rPr>
                <w:rFonts w:hint="eastAsia" w:ascii="仿宋" w:hAnsi="仿宋" w:eastAsia="仿宋" w:cs="仿宋"/>
                <w:b w:val="0"/>
                <w:bCs w:val="0"/>
                <w:color w:val="auto"/>
                <w:sz w:val="21"/>
                <w:szCs w:val="21"/>
              </w:rPr>
            </w:pPr>
            <w:r>
              <w:rPr>
                <w:rFonts w:hint="eastAsia" w:ascii="仿宋" w:hAnsi="仿宋" w:eastAsia="仿宋" w:cs="仿宋"/>
                <w:b/>
                <w:bCs/>
                <w:color w:val="auto"/>
                <w:spacing w:val="-49"/>
                <w:sz w:val="21"/>
                <w:szCs w:val="21"/>
              </w:rPr>
              <w:t>2</w:t>
            </w:r>
            <w:r>
              <w:rPr>
                <w:rFonts w:hint="eastAsia" w:ascii="仿宋" w:hAnsi="仿宋" w:eastAsia="仿宋" w:cs="仿宋"/>
                <w:b/>
                <w:bCs/>
                <w:color w:val="auto"/>
                <w:spacing w:val="-49"/>
                <w:sz w:val="21"/>
                <w:szCs w:val="21"/>
                <w:lang w:eastAsia="zh-CN"/>
              </w:rPr>
              <w:t>、</w:t>
            </w:r>
            <w:r>
              <w:rPr>
                <w:rFonts w:hint="eastAsia" w:ascii="仿宋" w:hAnsi="仿宋" w:eastAsia="仿宋" w:cs="仿宋"/>
                <w:b/>
                <w:bCs/>
                <w:color w:val="auto"/>
                <w:sz w:val="21"/>
                <w:szCs w:val="21"/>
                <w:lang w:val="en-US" w:eastAsia="zh-CN"/>
              </w:rPr>
              <w:t>统筹管理财政收支不科学、不平衡。</w:t>
            </w:r>
          </w:p>
        </w:tc>
        <w:tc>
          <w:tcPr>
            <w:tcW w:w="7066" w:type="dxa"/>
            <w:vAlign w:val="top"/>
          </w:tcPr>
          <w:p>
            <w:pPr>
              <w:spacing w:before="94" w:line="221" w:lineRule="auto"/>
              <w:ind w:firstLine="422" w:firstLineChars="200"/>
              <w:rPr>
                <w:rFonts w:hint="eastAsia" w:ascii="仿宋" w:hAnsi="仿宋" w:eastAsia="仿宋" w:cs="仿宋"/>
                <w:color w:val="auto"/>
                <w:sz w:val="21"/>
                <w:szCs w:val="21"/>
              </w:rPr>
            </w:pPr>
            <w:r>
              <w:rPr>
                <w:rFonts w:hint="eastAsia" w:ascii="仿宋" w:hAnsi="仿宋" w:eastAsia="仿宋" w:cs="仿宋"/>
                <w:b/>
                <w:bCs/>
                <w:color w:val="auto"/>
                <w:sz w:val="21"/>
                <w:szCs w:val="21"/>
                <w:lang w:val="en-US" w:eastAsia="zh-CN"/>
              </w:rPr>
              <w:t>一是</w:t>
            </w:r>
            <w:r>
              <w:rPr>
                <w:rFonts w:hint="eastAsia" w:ascii="仿宋" w:hAnsi="仿宋" w:eastAsia="仿宋" w:cs="仿宋"/>
                <w:b w:val="0"/>
                <w:bCs w:val="0"/>
                <w:color w:val="auto"/>
                <w:sz w:val="21"/>
                <w:szCs w:val="21"/>
                <w:lang w:val="en-US" w:eastAsia="zh-CN"/>
              </w:rPr>
              <w:t>财政收入增收困难。</w:t>
            </w:r>
            <w:r>
              <w:rPr>
                <w:rFonts w:hint="eastAsia" w:ascii="仿宋" w:hAnsi="仿宋" w:eastAsia="仿宋" w:cs="仿宋"/>
                <w:color w:val="auto"/>
                <w:sz w:val="21"/>
                <w:szCs w:val="21"/>
                <w:lang w:val="en-US" w:eastAsia="zh-CN"/>
              </w:rPr>
              <w:t>米脂县属国家重点生态功能区，工业发展受限，近年来财源建设项目较少，加之受疫情和减税降费政策影响，税收不增反降、财政收入质量较低。2022年地方财政收入中税收完成7867万元，较2019年税收收入9114万元减少13.7%，减少1247万元；2022年地方财政收入税收占比63.7%，与省市要求相差16.3个百分点。</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加大调研力度，结合米脂实际，积极包装财源建设项目向上争资并落地见效，实现农民和财政收入“双赢双增”目标；二是定期组织财税联席会议，采取按月分析报告和按季排查税源等措施，组建“破五难、查三漏”工作组，认真开展查漏补缺，迎头赶上。</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before="48" w:line="220" w:lineRule="auto"/>
              <w:ind w:left="197"/>
              <w:rPr>
                <w:rFonts w:hint="default" w:ascii="仿宋" w:hAnsi="仿宋" w:eastAsia="仿宋" w:cs="仿宋"/>
                <w:color w:val="auto"/>
                <w:spacing w:val="-1"/>
                <w:sz w:val="21"/>
                <w:szCs w:val="21"/>
                <w:lang w:val="en-US"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国库股</w:t>
            </w:r>
            <w:r>
              <w:rPr>
                <w:rFonts w:hint="eastAsia" w:ascii="仿宋" w:hAnsi="仿宋" w:eastAsia="仿宋" w:cs="仿宋"/>
                <w:color w:val="auto"/>
                <w:spacing w:val="-1"/>
                <w:sz w:val="21"/>
                <w:szCs w:val="21"/>
                <w:lang w:val="en-US" w:eastAsia="zh-CN"/>
              </w:rPr>
              <w:t>.工贸所、非税中心等</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整改责任人：国库股</w:t>
            </w:r>
            <w:r>
              <w:rPr>
                <w:rFonts w:hint="eastAsia" w:ascii="仿宋" w:hAnsi="仿宋" w:eastAsia="仿宋" w:cs="仿宋"/>
                <w:color w:val="auto"/>
                <w:spacing w:val="-1"/>
                <w:sz w:val="21"/>
                <w:szCs w:val="21"/>
                <w:lang w:val="en-US" w:eastAsia="zh-CN"/>
              </w:rPr>
              <w:t>.工贸所、非税中心等主要负责人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705"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633" w:type="dxa"/>
            <w:vMerge w:val="continue"/>
            <w:tcBorders>
              <w:left w:val="single" w:color="auto" w:sz="4" w:space="0"/>
            </w:tcBorders>
            <w:vAlign w:val="center"/>
          </w:tcPr>
          <w:p>
            <w:pPr>
              <w:pStyle w:val="5"/>
              <w:jc w:val="center"/>
              <w:rPr>
                <w:rFonts w:hint="eastAsia" w:ascii="仿宋" w:hAnsi="仿宋" w:eastAsia="仿宋" w:cs="仿宋"/>
                <w:color w:val="auto"/>
                <w:sz w:val="21"/>
                <w:szCs w:val="21"/>
              </w:rPr>
            </w:pPr>
          </w:p>
        </w:tc>
        <w:tc>
          <w:tcPr>
            <w:tcW w:w="1125" w:type="dxa"/>
            <w:vMerge w:val="continue"/>
            <w:vAlign w:val="top"/>
          </w:tcPr>
          <w:p>
            <w:pPr>
              <w:pStyle w:val="5"/>
              <w:rPr>
                <w:rFonts w:hint="eastAsia" w:ascii="仿宋" w:hAnsi="仿宋" w:eastAsia="仿宋" w:cs="仿宋"/>
                <w:b w:val="0"/>
                <w:bCs w:val="0"/>
                <w:color w:val="auto"/>
                <w:sz w:val="21"/>
                <w:szCs w:val="21"/>
              </w:rPr>
            </w:pPr>
          </w:p>
        </w:tc>
        <w:tc>
          <w:tcPr>
            <w:tcW w:w="7066" w:type="dxa"/>
            <w:vAlign w:val="top"/>
          </w:tcPr>
          <w:p>
            <w:pPr>
              <w:spacing w:before="94" w:line="221" w:lineRule="auto"/>
              <w:ind w:firstLine="422" w:firstLineChars="200"/>
              <w:rPr>
                <w:rFonts w:hint="eastAsia" w:ascii="仿宋" w:hAnsi="仿宋" w:eastAsia="仿宋" w:cs="仿宋"/>
                <w:color w:val="auto"/>
                <w:sz w:val="21"/>
                <w:szCs w:val="21"/>
              </w:rPr>
            </w:pPr>
            <w:r>
              <w:rPr>
                <w:rFonts w:hint="eastAsia" w:ascii="仿宋" w:hAnsi="仿宋" w:eastAsia="仿宋" w:cs="仿宋"/>
                <w:b/>
                <w:bCs/>
                <w:color w:val="auto"/>
                <w:sz w:val="21"/>
                <w:szCs w:val="21"/>
                <w:lang w:val="en-US" w:eastAsia="zh-CN"/>
              </w:rPr>
              <w:t>二是</w:t>
            </w:r>
            <w:r>
              <w:rPr>
                <w:rFonts w:hint="eastAsia" w:ascii="仿宋" w:hAnsi="仿宋" w:eastAsia="仿宋" w:cs="仿宋"/>
                <w:b w:val="0"/>
                <w:bCs w:val="0"/>
                <w:color w:val="auto"/>
                <w:sz w:val="21"/>
                <w:szCs w:val="21"/>
                <w:lang w:val="en-US" w:eastAsia="zh-CN"/>
              </w:rPr>
              <w:t>缓减财政压力保障不足。</w:t>
            </w:r>
            <w:r>
              <w:rPr>
                <w:rFonts w:hint="eastAsia" w:ascii="仿宋" w:hAnsi="仿宋" w:eastAsia="仿宋" w:cs="仿宋"/>
                <w:color w:val="auto"/>
                <w:sz w:val="21"/>
                <w:szCs w:val="21"/>
                <w:lang w:val="en-US" w:eastAsia="zh-CN"/>
              </w:rPr>
              <w:t>2021年全县财政总支出262109万元，2022年支出306113万元增长了16.8%，2023年预算支出335000万元，2024年起银南新区新型城镇化建设PPP项目每年另需安排运行缺口补助8000万元左右；我县可用财力较少，局党组应对各类刚性支出需求快速增长没有有效措施。</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全力支持民营企业、合作企业和国有企业发展，积极争取中小企业发展等资金给予扶持，实现财政税收收入净增收；二是调整支出结构，压缩三公经费，实现减支增收目标；三是盘活资产保值增值，循环经济发展。</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before="48" w:line="220" w:lineRule="auto"/>
              <w:ind w:left="197"/>
              <w:rPr>
                <w:rFonts w:hint="default" w:ascii="仿宋" w:hAnsi="仿宋" w:eastAsia="仿宋" w:cs="仿宋"/>
                <w:color w:val="auto"/>
                <w:spacing w:val="-1"/>
                <w:sz w:val="21"/>
                <w:szCs w:val="21"/>
                <w:lang w:val="en-US"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工贸所</w:t>
            </w:r>
            <w:r>
              <w:rPr>
                <w:rFonts w:hint="eastAsia" w:ascii="仿宋" w:hAnsi="仿宋" w:eastAsia="仿宋" w:cs="仿宋"/>
                <w:color w:val="auto"/>
                <w:spacing w:val="-1"/>
                <w:sz w:val="21"/>
                <w:szCs w:val="21"/>
                <w:lang w:val="en-US" w:eastAsia="zh-CN"/>
              </w:rPr>
              <w:t>.预算股.国资中心等</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整改责任人：工贸所</w:t>
            </w:r>
            <w:r>
              <w:rPr>
                <w:rFonts w:hint="eastAsia" w:ascii="仿宋" w:hAnsi="仿宋" w:eastAsia="仿宋" w:cs="仿宋"/>
                <w:color w:val="auto"/>
                <w:spacing w:val="-1"/>
                <w:sz w:val="21"/>
                <w:szCs w:val="21"/>
                <w:lang w:val="en-US" w:eastAsia="zh-CN"/>
              </w:rPr>
              <w:t>.预算股.国资中心等主要负责人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05" w:type="dxa"/>
            <w:tcBorders>
              <w:top w:val="single" w:color="auto" w:sz="4" w:space="0"/>
            </w:tcBorders>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vAlign w:val="top"/>
          </w:tcPr>
          <w:p>
            <w:pPr>
              <w:pStyle w:val="5"/>
              <w:rPr>
                <w:rFonts w:hint="eastAsia" w:ascii="仿宋" w:hAnsi="仿宋" w:eastAsia="仿宋" w:cs="仿宋"/>
                <w:b w:val="0"/>
                <w:bCs w:val="0"/>
                <w:color w:val="auto"/>
                <w:sz w:val="21"/>
                <w:szCs w:val="21"/>
              </w:rPr>
            </w:pPr>
          </w:p>
        </w:tc>
        <w:tc>
          <w:tcPr>
            <w:tcW w:w="7066" w:type="dxa"/>
            <w:vAlign w:val="top"/>
          </w:tcPr>
          <w:p>
            <w:pPr>
              <w:spacing w:before="94" w:line="221" w:lineRule="auto"/>
              <w:ind w:left="202"/>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三是</w:t>
            </w:r>
            <w:r>
              <w:rPr>
                <w:rFonts w:hint="eastAsia" w:ascii="仿宋" w:hAnsi="仿宋" w:eastAsia="仿宋" w:cs="仿宋"/>
                <w:b w:val="0"/>
                <w:bCs w:val="0"/>
                <w:color w:val="auto"/>
                <w:sz w:val="21"/>
                <w:szCs w:val="21"/>
                <w:lang w:val="en-US" w:eastAsia="zh-CN"/>
              </w:rPr>
              <w:t>预算执行均衡度低。前三季度财政支出进度均低于序时进度，第四季度高于其他季度，特别是12月份支出数明显比其他月份高</w:t>
            </w:r>
            <w:r>
              <w:rPr>
                <w:rFonts w:hint="eastAsia" w:ascii="仿宋" w:hAnsi="仿宋" w:eastAsia="仿宋" w:cs="仿宋"/>
                <w:color w:val="auto"/>
                <w:sz w:val="21"/>
                <w:szCs w:val="21"/>
              </w:rPr>
              <w:t>。</w:t>
            </w:r>
            <w:r>
              <w:rPr>
                <w:rFonts w:hint="eastAsia" w:ascii="仿宋" w:hAnsi="仿宋" w:eastAsia="仿宋" w:cs="仿宋"/>
                <w:b w:val="0"/>
                <w:bCs w:val="0"/>
                <w:color w:val="auto"/>
                <w:sz w:val="21"/>
                <w:szCs w:val="21"/>
                <w:lang w:val="en-US" w:eastAsia="zh-CN"/>
              </w:rPr>
              <w:t>2022年</w:t>
            </w:r>
            <w:r>
              <w:rPr>
                <w:rFonts w:hint="eastAsia" w:ascii="仿宋" w:hAnsi="仿宋" w:eastAsia="仿宋" w:cs="仿宋"/>
                <w:b w:val="0"/>
                <w:bCs w:val="0"/>
                <w:color w:val="auto"/>
                <w:sz w:val="21"/>
                <w:szCs w:val="21"/>
                <w:highlight w:val="none"/>
                <w:lang w:val="en-US" w:eastAsia="zh-CN"/>
              </w:rPr>
              <w:t>前三季度一般公共预算支出219393万元，占全年支出数</w:t>
            </w:r>
            <w:r>
              <w:rPr>
                <w:rFonts w:hint="eastAsia" w:ascii="仿宋" w:hAnsi="仿宋" w:eastAsia="仿宋" w:cs="仿宋"/>
                <w:b w:val="0"/>
                <w:bCs w:val="0"/>
                <w:color w:val="auto"/>
                <w:sz w:val="21"/>
                <w:szCs w:val="21"/>
                <w:lang w:val="en-US" w:eastAsia="zh-CN"/>
              </w:rPr>
              <w:t>306113万元</w:t>
            </w:r>
            <w:r>
              <w:rPr>
                <w:rFonts w:hint="eastAsia" w:ascii="仿宋" w:hAnsi="仿宋" w:eastAsia="仿宋" w:cs="仿宋"/>
                <w:b w:val="0"/>
                <w:bCs w:val="0"/>
                <w:color w:val="auto"/>
                <w:sz w:val="21"/>
                <w:szCs w:val="21"/>
                <w:highlight w:val="none"/>
                <w:lang w:val="en-US" w:eastAsia="zh-CN"/>
              </w:rPr>
              <w:t>的71.7%，</w:t>
            </w:r>
            <w:r>
              <w:rPr>
                <w:rFonts w:hint="eastAsia" w:ascii="仿宋" w:hAnsi="仿宋" w:eastAsia="仿宋" w:cs="仿宋"/>
                <w:b w:val="0"/>
                <w:bCs w:val="0"/>
                <w:color w:val="auto"/>
                <w:sz w:val="21"/>
                <w:szCs w:val="21"/>
                <w:lang w:val="en-US" w:eastAsia="zh-CN"/>
              </w:rPr>
              <w:t>12月份当月支出42759万元，占总支出的14.0%。</w:t>
            </w:r>
          </w:p>
        </w:tc>
        <w:tc>
          <w:tcPr>
            <w:tcW w:w="6480" w:type="dxa"/>
            <w:vAlign w:val="top"/>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一是积极协调市国库科调度资金，督促资金管理股所按上级规定下达指标；二是积极协调上级财政部门及早下达年度专项资金，避免集中在</w:t>
            </w:r>
            <w:r>
              <w:rPr>
                <w:rFonts w:hint="eastAsia" w:ascii="仿宋" w:hAnsi="仿宋" w:eastAsia="仿宋" w:cs="仿宋"/>
                <w:color w:val="auto"/>
                <w:sz w:val="21"/>
                <w:szCs w:val="21"/>
                <w:lang w:val="en-US" w:eastAsia="zh-CN"/>
              </w:rPr>
              <w:t>12月份下达；三是采取提醒、提示、督办等形式，加快资金项目报账进度。</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line="218"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国库股及资金归口管理股所</w:t>
            </w:r>
          </w:p>
          <w:p>
            <w:pPr>
              <w:spacing w:line="218"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lang w:eastAsia="zh-CN"/>
              </w:rPr>
              <w:t>整改责任人：国库股及资金归口管理股所主要负责人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05" w:type="dxa"/>
            <w:tcBorders>
              <w:top w:val="nil"/>
            </w:tcBorders>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633" w:type="dxa"/>
            <w:vMerge w:val="continue"/>
            <w:vAlign w:val="center"/>
          </w:tcPr>
          <w:p>
            <w:pPr>
              <w:pStyle w:val="5"/>
              <w:jc w:val="center"/>
              <w:rPr>
                <w:rFonts w:hint="eastAsia" w:ascii="仿宋" w:hAnsi="仿宋" w:eastAsia="仿宋" w:cs="仿宋"/>
                <w:color w:val="auto"/>
                <w:sz w:val="21"/>
                <w:szCs w:val="21"/>
              </w:rPr>
            </w:pPr>
          </w:p>
        </w:tc>
        <w:tc>
          <w:tcPr>
            <w:tcW w:w="1125" w:type="dxa"/>
            <w:vMerge w:val="continue"/>
            <w:vAlign w:val="top"/>
          </w:tcPr>
          <w:p>
            <w:pPr>
              <w:pStyle w:val="5"/>
              <w:rPr>
                <w:rFonts w:hint="eastAsia" w:ascii="仿宋" w:hAnsi="仿宋" w:eastAsia="仿宋" w:cs="仿宋"/>
                <w:b w:val="0"/>
                <w:bCs w:val="0"/>
                <w:color w:val="auto"/>
                <w:sz w:val="21"/>
                <w:szCs w:val="21"/>
              </w:rPr>
            </w:pPr>
          </w:p>
        </w:tc>
        <w:tc>
          <w:tcPr>
            <w:tcW w:w="70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211" w:firstLineChars="100"/>
              <w:jc w:val="both"/>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四是</w:t>
            </w:r>
            <w:r>
              <w:rPr>
                <w:rFonts w:hint="eastAsia" w:ascii="仿宋" w:hAnsi="仿宋" w:eastAsia="仿宋" w:cs="仿宋"/>
                <w:b w:val="0"/>
                <w:bCs w:val="0"/>
                <w:color w:val="auto"/>
                <w:sz w:val="21"/>
                <w:szCs w:val="21"/>
                <w:lang w:val="en-US" w:eastAsia="zh-CN"/>
              </w:rPr>
              <w:t>预算执行进度缓慢。各单位财政年终结余结转资金量大，截至2022年底，财政云系统结转指标5.78亿元。</w:t>
            </w:r>
          </w:p>
          <w:p>
            <w:pPr>
              <w:spacing w:before="94" w:line="240" w:lineRule="auto"/>
              <w:ind w:left="202"/>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一是研究修订专项项目资金管理办法，解决历年来当年项目资金结转余额大的问题；二是争取上级政策支持，加大资金盘活力度，采取跨年度资金支付等方式。</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z w:val="21"/>
                <w:szCs w:val="21"/>
                <w:lang w:eastAsia="zh-CN"/>
              </w:rPr>
              <w:t>预算股</w:t>
            </w:r>
          </w:p>
          <w:p>
            <w:pPr>
              <w:spacing w:line="218"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各资金归口管理股所</w:t>
            </w:r>
          </w:p>
          <w:p>
            <w:pPr>
              <w:spacing w:line="218"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lang w:eastAsia="zh-CN"/>
              </w:rPr>
              <w:t>整改责任人：各资金归口管理股所主要负责人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bottom w:val="nil"/>
            </w:tcBorders>
            <w:vAlign w:val="center"/>
          </w:tcPr>
          <w:p>
            <w:pPr>
              <w:pStyle w:val="5"/>
              <w:jc w:val="center"/>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lang w:val="en-US" w:eastAsia="zh-CN"/>
              </w:rPr>
              <w:t xml:space="preserve">  3、</w:t>
            </w:r>
            <w:r>
              <w:rPr>
                <w:rFonts w:hint="eastAsia" w:ascii="仿宋" w:hAnsi="仿宋" w:eastAsia="仿宋" w:cs="仿宋"/>
                <w:b/>
                <w:bCs/>
                <w:color w:val="auto"/>
                <w:sz w:val="21"/>
                <w:szCs w:val="21"/>
              </w:rPr>
              <w:t>落实意识形态工作责任制不够有力。</w:t>
            </w:r>
          </w:p>
        </w:tc>
        <w:tc>
          <w:tcPr>
            <w:tcW w:w="70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420" w:firstLineChars="200"/>
              <w:jc w:val="both"/>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局党组对意识形态领域工作安排部署还不够到位，抓得不紧，缺乏有效的措施和办法。</w:t>
            </w:r>
            <w:r>
              <w:rPr>
                <w:rFonts w:hint="eastAsia" w:ascii="仿宋" w:hAnsi="仿宋" w:eastAsia="仿宋" w:cs="仿宋"/>
                <w:color w:val="auto"/>
                <w:sz w:val="21"/>
                <w:szCs w:val="21"/>
              </w:rPr>
              <w:t>2020</w:t>
            </w:r>
            <w:r>
              <w:rPr>
                <w:rFonts w:hint="eastAsia" w:ascii="仿宋" w:hAnsi="仿宋" w:eastAsia="仿宋" w:cs="仿宋"/>
                <w:color w:val="auto"/>
                <w:sz w:val="21"/>
                <w:szCs w:val="21"/>
                <w:lang w:val="en-US" w:eastAsia="zh-CN"/>
              </w:rPr>
              <w:t>年至</w:t>
            </w:r>
            <w:r>
              <w:rPr>
                <w:rFonts w:hint="eastAsia" w:ascii="仿宋" w:hAnsi="仿宋" w:eastAsia="仿宋" w:cs="仿宋"/>
                <w:color w:val="auto"/>
                <w:sz w:val="21"/>
                <w:szCs w:val="21"/>
              </w:rPr>
              <w:t>2022年度未对意识形态领域进行定期分析研判；对2023年全县意识形态工作督导检查反馈的问题，未明确整改措施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整改资料</w:t>
            </w:r>
            <w:r>
              <w:rPr>
                <w:rFonts w:hint="eastAsia" w:ascii="仿宋" w:hAnsi="仿宋" w:eastAsia="仿宋" w:cs="仿宋"/>
                <w:color w:val="auto"/>
                <w:sz w:val="21"/>
                <w:szCs w:val="21"/>
                <w:lang w:val="en-US" w:eastAsia="zh-CN"/>
              </w:rPr>
              <w:t>不齐全</w:t>
            </w:r>
            <w:r>
              <w:rPr>
                <w:rFonts w:hint="eastAsia" w:ascii="仿宋" w:hAnsi="仿宋" w:eastAsia="仿宋" w:cs="仿宋"/>
                <w:b w:val="0"/>
                <w:bCs w:val="0"/>
                <w:color w:val="auto"/>
                <w:sz w:val="21"/>
                <w:szCs w:val="21"/>
                <w:lang w:val="en-US" w:eastAsia="zh-CN"/>
              </w:rPr>
              <w:t>。</w:t>
            </w:r>
          </w:p>
          <w:p>
            <w:pPr>
              <w:pStyle w:val="5"/>
              <w:spacing w:line="240" w:lineRule="auto"/>
              <w:rPr>
                <w:rFonts w:hint="eastAsia" w:ascii="仿宋" w:hAnsi="仿宋" w:eastAsia="仿宋" w:cs="仿宋"/>
                <w:color w:val="auto"/>
                <w:sz w:val="21"/>
                <w:szCs w:val="21"/>
              </w:rPr>
            </w:pPr>
          </w:p>
        </w:tc>
        <w:tc>
          <w:tcPr>
            <w:tcW w:w="6480" w:type="dxa"/>
            <w:vAlign w:val="top"/>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一是配备党建办专职业务人员，制定年度详实的工作计划，与财政系统各级党组织负责人签订落实意识形态工作责任制，采取有效措施与办法，推进意识形态领域进行定期分析</w:t>
            </w:r>
            <w:bookmarkStart w:id="0" w:name="_GoBack"/>
            <w:bookmarkEnd w:id="0"/>
            <w:r>
              <w:rPr>
                <w:rFonts w:hint="eastAsia" w:ascii="仿宋" w:hAnsi="仿宋" w:eastAsia="仿宋" w:cs="仿宋"/>
                <w:color w:val="auto"/>
                <w:sz w:val="21"/>
                <w:szCs w:val="21"/>
                <w:lang w:eastAsia="zh-CN"/>
              </w:rPr>
              <w:t>研判；二是对</w:t>
            </w:r>
            <w:r>
              <w:rPr>
                <w:rFonts w:hint="eastAsia" w:ascii="仿宋" w:hAnsi="仿宋" w:eastAsia="仿宋" w:cs="仿宋"/>
                <w:color w:val="auto"/>
                <w:sz w:val="21"/>
                <w:szCs w:val="21"/>
                <w:lang w:val="en-US" w:eastAsia="zh-CN"/>
              </w:rPr>
              <w:t>2023年全县意识形态工作督导检查反馈问题台账进一步补充整改措施、补齐整改资料。</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各股所、各支部</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整改责任人：各股所、各支部主要负责人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633" w:type="dxa"/>
            <w:vMerge w:val="continue"/>
            <w:tcBorders>
              <w:bottom w:val="nil"/>
            </w:tcBorders>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bottom w:val="nil"/>
            </w:tcBorders>
            <w:vAlign w:val="center"/>
          </w:tcPr>
          <w:p>
            <w:pPr>
              <w:pStyle w:val="5"/>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 xml:space="preserve">  4.落实街镇财政所改革不彻底</w:t>
            </w:r>
            <w:r>
              <w:rPr>
                <w:rFonts w:hint="eastAsia" w:ascii="仿宋" w:hAnsi="仿宋" w:eastAsia="仿宋" w:cs="仿宋"/>
                <w:b w:val="0"/>
                <w:bCs w:val="0"/>
                <w:color w:val="auto"/>
                <w:sz w:val="21"/>
                <w:szCs w:val="21"/>
                <w:lang w:val="en-US" w:eastAsia="zh-CN"/>
              </w:rPr>
              <w:t>。</w:t>
            </w:r>
          </w:p>
        </w:tc>
        <w:tc>
          <w:tcPr>
            <w:tcW w:w="7066" w:type="dxa"/>
            <w:vAlign w:val="top"/>
          </w:tcPr>
          <w:p>
            <w:pPr>
              <w:pStyle w:val="5"/>
              <w:ind w:firstLine="420" w:firstLineChars="200"/>
              <w:rPr>
                <w:rFonts w:hint="eastAsia" w:ascii="仿宋" w:hAnsi="仿宋" w:eastAsia="仿宋" w:cs="仿宋"/>
                <w:color w:val="auto"/>
                <w:sz w:val="21"/>
                <w:szCs w:val="21"/>
              </w:rPr>
            </w:pPr>
            <w:r>
              <w:rPr>
                <w:rFonts w:hint="eastAsia" w:ascii="仿宋" w:hAnsi="仿宋" w:eastAsia="仿宋" w:cs="仿宋"/>
                <w:b w:val="0"/>
                <w:bCs w:val="0"/>
                <w:color w:val="auto"/>
                <w:sz w:val="21"/>
                <w:szCs w:val="21"/>
                <w:lang w:val="en-US" w:eastAsia="zh-CN"/>
              </w:rPr>
              <w:t>街镇财政所未充分履行财政资金监管、绩效管理职能，财政所干部实际工作业务与岗位设置不匹配。如银州街道办事处、城郊镇财政所所长均兼任财政局内设股室负责人和业务骨干；城郊镇财政所两名干部均负责镇村级财务和“一卡通”以及村集体经济代理记账并兼顾本所资料收集业务。</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财政与统计所要完善业务岗位设置，按其职责进行匹配，不得超越职责或不得违规违法兼职业务，二是认真履行好绩效管理和资金监管“最后一公里”职责；三是推荐好财政与统计所所长人选，报局党组研究后上报县委及组织部配备。</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罗有随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乡财股</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各财政与统计所</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整改责任人：各财政与统计所主要负责人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633" w:type="dxa"/>
            <w:vMerge w:val="restart"/>
            <w:vAlign w:val="center"/>
          </w:tcPr>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rPr>
            </w:pPr>
          </w:p>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rPr>
            </w:pPr>
          </w:p>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rPr>
              <w:t>（二）聚焦群众身边腐败问题和不正之风，推动全面从严治党向基层延伸方面</w:t>
            </w:r>
          </w:p>
          <w:p>
            <w:pPr>
              <w:spacing w:before="94" w:line="221" w:lineRule="auto"/>
              <w:ind w:left="130"/>
              <w:jc w:val="center"/>
              <w:rPr>
                <w:rFonts w:hint="eastAsia" w:ascii="仿宋" w:hAnsi="仿宋" w:eastAsia="仿宋" w:cs="仿宋"/>
                <w:color w:val="auto"/>
                <w:sz w:val="21"/>
                <w:szCs w:val="21"/>
              </w:rPr>
            </w:pPr>
          </w:p>
        </w:tc>
        <w:tc>
          <w:tcPr>
            <w:tcW w:w="1125" w:type="dxa"/>
            <w:vMerge w:val="restart"/>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1.全面</w:t>
            </w:r>
            <w:r>
              <w:rPr>
                <w:rFonts w:hint="eastAsia" w:ascii="仿宋" w:hAnsi="仿宋" w:eastAsia="仿宋" w:cs="仿宋"/>
                <w:b/>
                <w:bCs/>
                <w:color w:val="auto"/>
                <w:sz w:val="21"/>
                <w:szCs w:val="21"/>
              </w:rPr>
              <w:t>从严治党主体责任落实不力。</w:t>
            </w:r>
          </w:p>
        </w:tc>
        <w:tc>
          <w:tcPr>
            <w:tcW w:w="7066" w:type="dxa"/>
            <w:vAlign w:val="top"/>
          </w:tcPr>
          <w:p>
            <w:pPr>
              <w:pStyle w:val="5"/>
              <w:ind w:firstLine="422" w:firstLineChars="200"/>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eastAsia="zh-CN"/>
              </w:rPr>
              <w:t>一是</w:t>
            </w:r>
            <w:r>
              <w:rPr>
                <w:rFonts w:hint="eastAsia" w:ascii="仿宋" w:hAnsi="仿宋" w:eastAsia="仿宋" w:cs="仿宋"/>
                <w:b w:val="0"/>
                <w:bCs/>
                <w:color w:val="auto"/>
                <w:sz w:val="21"/>
                <w:szCs w:val="21"/>
                <w:lang w:val="en-US" w:eastAsia="zh-CN"/>
              </w:rPr>
              <w:t>管党治党“两个责任”落实和压力传导不够有力。</w:t>
            </w:r>
            <w:r>
              <w:rPr>
                <w:rFonts w:hint="eastAsia" w:ascii="仿宋" w:hAnsi="仿宋" w:eastAsia="仿宋" w:cs="仿宋"/>
                <w:color w:val="auto"/>
                <w:sz w:val="21"/>
                <w:szCs w:val="21"/>
                <w:lang w:val="en-US" w:eastAsia="zh-CN"/>
              </w:rPr>
              <w:t>2020年以来，县纪委监委受理县财政系统问题线索12条，共有6名党员干部受党纪政务处分，给予开除党籍、开除公职处分1人，移送司法机关1人；在开展宫某某严重违纪违法案警示教育后，仍有干部职工发生违纪违法行为。</w:t>
            </w:r>
          </w:p>
        </w:tc>
        <w:tc>
          <w:tcPr>
            <w:tcW w:w="6480" w:type="dxa"/>
            <w:vAlign w:val="top"/>
          </w:tcPr>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一是结合主题教育，继续开展</w:t>
            </w:r>
            <w:r>
              <w:rPr>
                <w:rFonts w:hint="eastAsia" w:ascii="仿宋" w:hAnsi="仿宋" w:eastAsia="仿宋" w:cs="仿宋"/>
                <w:color w:val="auto"/>
                <w:sz w:val="21"/>
                <w:szCs w:val="21"/>
                <w:lang w:eastAsia="zh-CN"/>
              </w:rPr>
              <w:t>“以案促改”</w:t>
            </w:r>
            <w:r>
              <w:rPr>
                <w:rFonts w:hint="eastAsia" w:ascii="仿宋" w:hAnsi="仿宋" w:eastAsia="仿宋" w:cs="仿宋"/>
                <w:color w:val="auto"/>
                <w:sz w:val="21"/>
                <w:szCs w:val="21"/>
                <w:lang w:val="en-US" w:eastAsia="zh-CN"/>
              </w:rPr>
              <w:t>工作专项整治警示教育；二是认真排查干部职工发生违纪违法行为，并对照岗位业务风险点开展自查排查，建立自查排查问题整改清单，限时完成整改或办结任务；三是常态化落实从严治党“两个责任”，正确区分对待县委出台的三项机制及应用，采取内控、内审、提醒谈话等长效机制，压力传导财政系统各个角落，全力推动财政系统党风廉政建设工作落实有力。</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r>
              <w:rPr>
                <w:rFonts w:hint="eastAsia" w:ascii="仿宋" w:hAnsi="仿宋" w:eastAsia="仿宋" w:cs="仿宋"/>
                <w:color w:val="auto"/>
                <w:spacing w:val="-1"/>
                <w:position w:val="6"/>
                <w:sz w:val="21"/>
                <w:szCs w:val="21"/>
                <w:lang w:val="en-US" w:eastAsia="zh-CN"/>
              </w:rPr>
              <w:t xml:space="preserve"> </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整改责任人：全局各股所主要负责人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pStyle w:val="5"/>
              <w:ind w:firstLine="422" w:firstLineChars="200"/>
              <w:rPr>
                <w:rFonts w:hint="eastAsia" w:ascii="仿宋" w:hAnsi="仿宋" w:eastAsia="仿宋" w:cs="仿宋"/>
                <w:b/>
                <w:bCs/>
                <w:color w:val="auto"/>
                <w:sz w:val="21"/>
                <w:szCs w:val="21"/>
                <w:lang w:eastAsia="zh-CN"/>
              </w:rPr>
            </w:pPr>
            <w:r>
              <w:rPr>
                <w:rFonts w:hint="eastAsia" w:ascii="仿宋" w:hAnsi="仿宋" w:eastAsia="仿宋" w:cs="仿宋"/>
                <w:b/>
                <w:bCs w:val="0"/>
                <w:color w:val="auto"/>
                <w:sz w:val="21"/>
                <w:szCs w:val="21"/>
                <w:lang w:val="en-US" w:eastAsia="zh-CN"/>
              </w:rPr>
              <w:t>二是</w:t>
            </w:r>
            <w:r>
              <w:rPr>
                <w:rFonts w:hint="eastAsia" w:ascii="仿宋" w:hAnsi="仿宋" w:eastAsia="仿宋" w:cs="仿宋"/>
                <w:b w:val="0"/>
                <w:bCs/>
                <w:color w:val="auto"/>
                <w:sz w:val="21"/>
                <w:szCs w:val="21"/>
                <w:lang w:val="en-US" w:eastAsia="zh-CN"/>
              </w:rPr>
              <w:t>党组</w:t>
            </w:r>
            <w:r>
              <w:rPr>
                <w:rFonts w:hint="eastAsia" w:ascii="仿宋" w:hAnsi="仿宋" w:eastAsia="仿宋" w:cs="仿宋"/>
                <w:b w:val="0"/>
                <w:bCs/>
                <w:color w:val="auto"/>
                <w:sz w:val="21"/>
                <w:szCs w:val="21"/>
                <w:lang w:eastAsia="zh-CN"/>
              </w:rPr>
              <w:t>对</w:t>
            </w:r>
            <w:r>
              <w:rPr>
                <w:rFonts w:hint="eastAsia" w:ascii="仿宋" w:hAnsi="仿宋" w:eastAsia="仿宋" w:cs="仿宋"/>
                <w:b w:val="0"/>
                <w:bCs/>
                <w:color w:val="auto"/>
                <w:sz w:val="21"/>
                <w:szCs w:val="21"/>
              </w:rPr>
              <w:t>党建和党风廉政建设工作</w:t>
            </w:r>
            <w:r>
              <w:rPr>
                <w:rFonts w:hint="eastAsia" w:ascii="仿宋" w:hAnsi="仿宋" w:eastAsia="仿宋" w:cs="仿宋"/>
                <w:b w:val="0"/>
                <w:bCs/>
                <w:color w:val="auto"/>
                <w:sz w:val="21"/>
                <w:szCs w:val="21"/>
                <w:lang w:eastAsia="zh-CN"/>
              </w:rPr>
              <w:t>安排不到位，</w:t>
            </w:r>
            <w:r>
              <w:rPr>
                <w:rFonts w:hint="eastAsia" w:ascii="仿宋" w:hAnsi="仿宋" w:eastAsia="仿宋" w:cs="仿宋"/>
                <w:b w:val="0"/>
                <w:bCs/>
                <w:color w:val="auto"/>
                <w:sz w:val="21"/>
                <w:szCs w:val="21"/>
                <w:lang w:val="en-US" w:eastAsia="zh-CN"/>
              </w:rPr>
              <w:t>2020年和2021年未</w:t>
            </w:r>
            <w:r>
              <w:rPr>
                <w:rFonts w:hint="eastAsia" w:ascii="仿宋" w:hAnsi="仿宋" w:eastAsia="仿宋" w:cs="仿宋"/>
                <w:b w:val="0"/>
                <w:bCs/>
                <w:color w:val="auto"/>
                <w:sz w:val="21"/>
                <w:szCs w:val="21"/>
              </w:rPr>
              <w:t>听取下属事业单位党建和党风廉政建设工作</w:t>
            </w:r>
            <w:r>
              <w:rPr>
                <w:rFonts w:hint="eastAsia" w:ascii="仿宋" w:hAnsi="仿宋" w:eastAsia="仿宋" w:cs="仿宋"/>
                <w:b w:val="0"/>
                <w:bCs/>
                <w:color w:val="auto"/>
                <w:sz w:val="21"/>
                <w:szCs w:val="21"/>
                <w:lang w:val="en-US" w:eastAsia="zh-CN"/>
              </w:rPr>
              <w:t>专题汇报。</w:t>
            </w:r>
          </w:p>
        </w:tc>
        <w:tc>
          <w:tcPr>
            <w:tcW w:w="6480" w:type="dxa"/>
            <w:vAlign w:val="top"/>
          </w:tcPr>
          <w:p>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snapToGrid w:val="0"/>
                <w:color w:val="auto"/>
                <w:kern w:val="0"/>
                <w:sz w:val="21"/>
                <w:szCs w:val="21"/>
                <w:lang w:val="en-US" w:eastAsia="zh-CN" w:bidi="ar-SA"/>
              </w:rPr>
              <w:t>一是严格落实局党组全面从严治党主体责任，完善并动态更新主体责任清单；二是每年至少主持召开2次局党组专题会议，分析研判全面从严治党和党风廉政建设工作形势，研究部署相关工作，听取党支部汇报主体责任履行情况。三是每年至少开展1次全面从严治党专题调研，了解和把握重点工作推进情况，研究解决难点热点问题。</w:t>
            </w:r>
          </w:p>
          <w:p>
            <w:pPr>
              <w:pStyle w:val="5"/>
              <w:rPr>
                <w:rFonts w:hint="eastAsia" w:ascii="仿宋" w:hAnsi="仿宋" w:eastAsia="仿宋" w:cs="仿宋"/>
                <w:color w:val="auto"/>
                <w:sz w:val="21"/>
                <w:szCs w:val="21"/>
              </w:rPr>
            </w:pP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r>
              <w:rPr>
                <w:rFonts w:hint="eastAsia" w:ascii="仿宋" w:hAnsi="仿宋" w:eastAsia="仿宋" w:cs="仿宋"/>
                <w:color w:val="auto"/>
                <w:spacing w:val="-1"/>
                <w:position w:val="6"/>
                <w:sz w:val="21"/>
                <w:szCs w:val="21"/>
                <w:lang w:val="en-US" w:eastAsia="zh-CN"/>
              </w:rPr>
              <w:t xml:space="preserve"> </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全局各股所、各支部</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整改责任人：全局各股所、各支部主要负责人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pStyle w:val="5"/>
              <w:ind w:firstLine="422" w:firstLineChars="200"/>
              <w:rPr>
                <w:rFonts w:hint="eastAsia" w:ascii="仿宋" w:hAnsi="仿宋" w:eastAsia="仿宋" w:cs="仿宋"/>
                <w:b/>
                <w:bCs w:val="0"/>
                <w:color w:val="auto"/>
                <w:sz w:val="21"/>
                <w:szCs w:val="21"/>
                <w:lang w:val="en-US" w:eastAsia="zh-CN"/>
              </w:rPr>
            </w:pPr>
            <w:r>
              <w:rPr>
                <w:rFonts w:hint="eastAsia" w:ascii="仿宋" w:hAnsi="仿宋" w:eastAsia="仿宋" w:cs="仿宋"/>
                <w:b/>
                <w:bCs/>
                <w:color w:val="auto"/>
                <w:sz w:val="21"/>
                <w:szCs w:val="21"/>
                <w:lang w:val="en-US" w:eastAsia="zh-CN"/>
              </w:rPr>
              <w:t>三是</w:t>
            </w:r>
            <w:r>
              <w:rPr>
                <w:rFonts w:hint="eastAsia" w:ascii="仿宋" w:hAnsi="仿宋" w:eastAsia="仿宋" w:cs="仿宋"/>
                <w:b w:val="0"/>
                <w:bCs/>
                <w:color w:val="auto"/>
                <w:sz w:val="21"/>
                <w:szCs w:val="21"/>
              </w:rPr>
              <w:t>组织实施述职述廉报告会不严谨</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局党组未对个人述职述廉报告进行点评并提出要求，查摆出的问题未制定统一整改台账、对账销号。</w:t>
            </w:r>
          </w:p>
        </w:tc>
        <w:tc>
          <w:tcPr>
            <w:tcW w:w="6480" w:type="dxa"/>
            <w:vAlign w:val="top"/>
          </w:tcPr>
          <w:p>
            <w:pPr>
              <w:pStyle w:val="5"/>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w:t>
            </w:r>
            <w:r>
              <w:rPr>
                <w:rFonts w:hint="eastAsia" w:ascii="仿宋" w:hAnsi="仿宋" w:eastAsia="仿宋" w:cs="仿宋"/>
                <w:color w:val="auto"/>
                <w:sz w:val="21"/>
                <w:szCs w:val="21"/>
                <w:lang w:val="en-US" w:eastAsia="zh-CN"/>
              </w:rPr>
              <w:t>是局党组成员及全局各股所主要负责人实施</w:t>
            </w:r>
            <w:r>
              <w:rPr>
                <w:rFonts w:hint="eastAsia" w:ascii="仿宋" w:hAnsi="仿宋" w:eastAsia="仿宋" w:cs="仿宋"/>
                <w:b w:val="0"/>
                <w:bCs/>
                <w:color w:val="auto"/>
                <w:sz w:val="21"/>
                <w:szCs w:val="21"/>
              </w:rPr>
              <w:t>述职述廉报告会</w:t>
            </w:r>
            <w:r>
              <w:rPr>
                <w:rFonts w:hint="eastAsia" w:ascii="仿宋" w:hAnsi="仿宋" w:eastAsia="仿宋" w:cs="仿宋"/>
                <w:b w:val="0"/>
                <w:bCs/>
                <w:color w:val="auto"/>
                <w:sz w:val="21"/>
                <w:szCs w:val="21"/>
                <w:lang w:eastAsia="zh-CN"/>
              </w:rPr>
              <w:t>制度，局党组对个人述职述廉报告要进行点评并提出要求；二是对</w:t>
            </w:r>
            <w:r>
              <w:rPr>
                <w:rFonts w:hint="eastAsia" w:ascii="仿宋" w:hAnsi="仿宋" w:eastAsia="仿宋" w:cs="仿宋"/>
                <w:b w:val="0"/>
                <w:bCs/>
                <w:color w:val="auto"/>
                <w:sz w:val="21"/>
                <w:szCs w:val="21"/>
                <w:lang w:val="en-US" w:eastAsia="zh-CN"/>
              </w:rPr>
              <w:t>查摆出的问题制定统一的整改台账进行整改、对账销号。</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r>
              <w:rPr>
                <w:rFonts w:hint="eastAsia" w:ascii="仿宋" w:hAnsi="仿宋" w:eastAsia="仿宋" w:cs="仿宋"/>
                <w:color w:val="auto"/>
                <w:spacing w:val="-1"/>
                <w:position w:val="6"/>
                <w:sz w:val="21"/>
                <w:szCs w:val="21"/>
                <w:lang w:val="en-US" w:eastAsia="zh-CN"/>
              </w:rPr>
              <w:t xml:space="preserve"> </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整改责任人：全局各股所主要负责人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tcBorders>
              <w:bottom w:val="nil"/>
            </w:tcBorders>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keepNext w:val="0"/>
              <w:keepLines w:val="0"/>
              <w:pageBreakBefore w:val="0"/>
              <w:widowControl w:val="0"/>
              <w:tabs>
                <w:tab w:val="left" w:pos="312"/>
              </w:tabs>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四是</w:t>
            </w:r>
            <w:r>
              <w:rPr>
                <w:rFonts w:hint="eastAsia" w:ascii="仿宋" w:hAnsi="仿宋" w:eastAsia="仿宋" w:cs="仿宋"/>
                <w:b w:val="0"/>
                <w:bCs w:val="0"/>
                <w:color w:val="auto"/>
                <w:sz w:val="21"/>
                <w:szCs w:val="21"/>
              </w:rPr>
              <w:t>党政一把手“四个”不直接分管制度执行不到位。</w:t>
            </w:r>
            <w:r>
              <w:rPr>
                <w:rFonts w:hint="eastAsia" w:ascii="仿宋" w:hAnsi="仿宋" w:eastAsia="仿宋" w:cs="仿宋"/>
                <w:color w:val="auto"/>
                <w:sz w:val="21"/>
                <w:szCs w:val="21"/>
              </w:rPr>
              <w:t>2022</w:t>
            </w:r>
            <w:r>
              <w:rPr>
                <w:rFonts w:hint="eastAsia" w:ascii="仿宋" w:hAnsi="仿宋" w:eastAsia="仿宋" w:cs="仿宋"/>
                <w:strike w:val="0"/>
                <w:dstrike w:val="0"/>
                <w:color w:val="auto"/>
                <w:sz w:val="21"/>
                <w:szCs w:val="21"/>
              </w:rPr>
              <w:t>年度</w:t>
            </w:r>
            <w:r>
              <w:rPr>
                <w:rFonts w:hint="eastAsia" w:ascii="仿宋" w:hAnsi="仿宋" w:eastAsia="仿宋" w:cs="仿宋"/>
                <w:color w:val="auto"/>
                <w:sz w:val="21"/>
                <w:szCs w:val="21"/>
              </w:rPr>
              <w:t>局领导班子成员职责分工未指定分管领导负责“组织人事，项目工程，物资采购，财务”。</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keepNext w:val="0"/>
              <w:keepLines w:val="0"/>
              <w:pageBreakBefore w:val="0"/>
              <w:widowControl w:val="0"/>
              <w:tabs>
                <w:tab w:val="left" w:pos="312"/>
              </w:tabs>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一是进一步明确</w:t>
            </w:r>
            <w:r>
              <w:rPr>
                <w:rFonts w:hint="eastAsia" w:ascii="仿宋" w:hAnsi="仿宋" w:eastAsia="仿宋" w:cs="仿宋"/>
                <w:b w:val="0"/>
                <w:bCs w:val="0"/>
                <w:color w:val="auto"/>
                <w:sz w:val="21"/>
                <w:szCs w:val="21"/>
              </w:rPr>
              <w:t>党政一把手“四个”不直接分管制度</w:t>
            </w:r>
            <w:r>
              <w:rPr>
                <w:rFonts w:hint="eastAsia" w:ascii="仿宋" w:hAnsi="仿宋" w:eastAsia="仿宋" w:cs="仿宋"/>
                <w:b w:val="0"/>
                <w:bCs w:val="0"/>
                <w:color w:val="auto"/>
                <w:sz w:val="21"/>
                <w:szCs w:val="21"/>
                <w:lang w:eastAsia="zh-CN"/>
              </w:rPr>
              <w:t>；二是局党组研究出台文件分工指定分管领导负责</w:t>
            </w:r>
            <w:r>
              <w:rPr>
                <w:rFonts w:hint="eastAsia" w:ascii="仿宋" w:hAnsi="仿宋" w:eastAsia="仿宋" w:cs="仿宋"/>
                <w:color w:val="auto"/>
                <w:sz w:val="21"/>
                <w:szCs w:val="21"/>
              </w:rPr>
              <w:t>“组织人事，项目工程，物资采购，财务”。</w:t>
            </w:r>
          </w:p>
        </w:tc>
        <w:tc>
          <w:tcPr>
            <w:tcW w:w="2669" w:type="dxa"/>
            <w:vAlign w:val="top"/>
          </w:tcPr>
          <w:p>
            <w:pPr>
              <w:spacing w:before="91" w:line="389" w:lineRule="exact"/>
              <w:ind w:left="197"/>
              <w:rPr>
                <w:rFonts w:hint="default" w:ascii="仿宋" w:hAnsi="仿宋" w:eastAsia="仿宋" w:cs="仿宋"/>
                <w:color w:val="auto"/>
                <w:sz w:val="21"/>
                <w:szCs w:val="21"/>
                <w:lang w:val="en-US"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高东银</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局党组</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整改责任人：吕学利</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restart"/>
            <w:vAlign w:val="center"/>
          </w:tcPr>
          <w:p>
            <w:pPr>
              <w:pStyle w:val="5"/>
              <w:jc w:val="both"/>
              <w:rPr>
                <w:rFonts w:hint="eastAsia" w:ascii="仿宋" w:hAnsi="仿宋" w:eastAsia="仿宋" w:cs="仿宋"/>
                <w:b/>
                <w:bCs/>
                <w:color w:val="auto"/>
                <w:sz w:val="21"/>
                <w:szCs w:val="21"/>
                <w:lang w:val="en-US" w:eastAsia="zh-CN"/>
              </w:rPr>
            </w:pPr>
          </w:p>
          <w:p>
            <w:pPr>
              <w:pStyle w:val="5"/>
              <w:jc w:val="center"/>
              <w:rPr>
                <w:rFonts w:hint="eastAsia" w:ascii="仿宋" w:hAnsi="仿宋" w:eastAsia="仿宋" w:cs="仿宋"/>
                <w:b/>
                <w:bCs/>
                <w:color w:val="auto"/>
                <w:sz w:val="21"/>
                <w:szCs w:val="21"/>
                <w:lang w:val="en-US" w:eastAsia="zh-CN"/>
              </w:rPr>
            </w:pPr>
          </w:p>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2.国资国企管理效能不高。</w:t>
            </w:r>
          </w:p>
        </w:tc>
        <w:tc>
          <w:tcPr>
            <w:tcW w:w="7066" w:type="dxa"/>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一是</w:t>
            </w:r>
            <w:r>
              <w:rPr>
                <w:rFonts w:hint="eastAsia" w:ascii="仿宋" w:hAnsi="仿宋" w:eastAsia="仿宋" w:cs="仿宋"/>
                <w:b w:val="0"/>
                <w:bCs w:val="0"/>
                <w:color w:val="auto"/>
                <w:sz w:val="21"/>
                <w:szCs w:val="21"/>
                <w:lang w:val="en-US" w:eastAsia="zh-CN"/>
              </w:rPr>
              <w:t>推进国企改革有差距。</w:t>
            </w:r>
            <w:r>
              <w:rPr>
                <w:rFonts w:hint="eastAsia" w:ascii="仿宋" w:hAnsi="仿宋" w:eastAsia="仿宋" w:cs="仿宋"/>
                <w:color w:val="auto"/>
                <w:sz w:val="21"/>
                <w:szCs w:val="21"/>
                <w:lang w:val="en-US" w:eastAsia="zh-CN"/>
              </w:rPr>
              <w:t>县属国有企业公司治理架构、领导层级配备不完善，企业内部机构设置不科学、不合理，治理主体权责边界不清晰，董事会建设有待进一步强化，企业内部监督体系需进一步完善。</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一是认真学习新《公司法》，深入国有公司进行调研并形成调研报告；二是开会讨论研究新时期</w:t>
            </w:r>
            <w:r>
              <w:rPr>
                <w:rFonts w:hint="eastAsia" w:ascii="仿宋" w:hAnsi="仿宋" w:eastAsia="仿宋" w:cs="仿宋"/>
                <w:color w:val="auto"/>
                <w:sz w:val="21"/>
                <w:szCs w:val="21"/>
                <w:lang w:val="en-US" w:eastAsia="zh-CN"/>
              </w:rPr>
              <w:t>县属国有企业公司治理架构、领导层级配备、企业内部机构设置、治理主体权责边界、董事会建设、企业内部监督体系等，进一步推进国企改革。</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戈阳</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国资中心</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整改责任人：李小鹏</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tcBorders>
              <w:bottom w:val="nil"/>
            </w:tcBorders>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二是</w:t>
            </w:r>
            <w:r>
              <w:rPr>
                <w:rFonts w:hint="eastAsia" w:ascii="仿宋" w:hAnsi="仿宋" w:eastAsia="仿宋" w:cs="仿宋"/>
                <w:b w:val="0"/>
                <w:bCs w:val="0"/>
                <w:color w:val="auto"/>
                <w:sz w:val="21"/>
                <w:szCs w:val="21"/>
                <w:lang w:val="en-US" w:eastAsia="zh-CN"/>
              </w:rPr>
              <w:t>行政事业单位资产管理不到位。各单位对资产管理的认识不够，重资金轻资产的意识根深蒂固，资产管理中存在制度落实不力问题。如</w:t>
            </w:r>
            <w:r>
              <w:rPr>
                <w:rFonts w:hint="eastAsia" w:ascii="仿宋" w:hAnsi="仿宋" w:eastAsia="仿宋" w:cs="仿宋"/>
                <w:color w:val="auto"/>
                <w:sz w:val="21"/>
                <w:szCs w:val="21"/>
                <w:lang w:val="en-US" w:eastAsia="zh-CN"/>
              </w:rPr>
              <w:t>资产系统迁移造成业务停滞，导致《关于教育局等单位资产处置的批复》（米财函〔2023〕45号）文件中遗留问题处置还未彻底完成，涉及盘盈及接受调拨资产19326483.52元，经过经济鉴证的资产损失127798744.25元，经过经济鉴证的资金损失246467.37元。</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一是认真组织学习</w:t>
            </w:r>
            <w:r>
              <w:rPr>
                <w:rFonts w:hint="eastAsia" w:ascii="仿宋" w:hAnsi="仿宋" w:eastAsia="仿宋" w:cs="仿宋"/>
                <w:b w:val="0"/>
                <w:bCs w:val="0"/>
                <w:color w:val="auto"/>
                <w:sz w:val="21"/>
                <w:szCs w:val="21"/>
                <w:lang w:val="en-US" w:eastAsia="zh-CN"/>
              </w:rPr>
              <w:t>行政事业单位资产管理新制度，深入全县行政事业单位就《关于全县行政事业单位资产管理的调研报告》中提出的存在问题和改进建议进行交流、沟通，对巡察提出的问题要妥善进行处理；二是进一步修订完善全县行政事业单位资产管理办法，实行线上、线下同步管理，建立新的年检制度，科学、合理地进行资产处置与配置审批。</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戈阳</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line="218"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国资科</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整改责任人：刘兆涛</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restart"/>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3.财政资金动态监管仍有不足。</w:t>
            </w:r>
          </w:p>
        </w:tc>
        <w:tc>
          <w:tcPr>
            <w:tcW w:w="7066" w:type="dxa"/>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一是</w:t>
            </w:r>
            <w:r>
              <w:rPr>
                <w:rFonts w:hint="eastAsia" w:ascii="仿宋" w:hAnsi="仿宋" w:eastAsia="仿宋" w:cs="仿宋"/>
                <w:color w:val="auto"/>
                <w:sz w:val="21"/>
                <w:szCs w:val="21"/>
                <w:lang w:val="en-US" w:eastAsia="zh-CN"/>
              </w:rPr>
              <w:t>振南资金到期欠账大。截止2023年11月底仍有24个企业法人待收缴本金1253万元，其中15个企业253万元贷款零回收；</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一是进一步学习法律法规知识，提高处置</w:t>
            </w:r>
            <w:r>
              <w:rPr>
                <w:rFonts w:hint="eastAsia" w:ascii="仿宋" w:hAnsi="仿宋" w:eastAsia="仿宋" w:cs="仿宋"/>
                <w:color w:val="auto"/>
                <w:sz w:val="21"/>
                <w:szCs w:val="21"/>
                <w:lang w:val="en-US" w:eastAsia="zh-CN"/>
              </w:rPr>
              <w:t>振南资金贷款零回收能力；二是继续协调法院，依法收贷；三是向上级财政部门探讨呆账核销新政策制度。</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戈阳</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工贸所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整改责任人：李科</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二是</w:t>
            </w:r>
            <w:r>
              <w:rPr>
                <w:rFonts w:hint="eastAsia" w:ascii="仿宋" w:hAnsi="仿宋" w:eastAsia="仿宋" w:cs="仿宋"/>
                <w:b w:val="0"/>
                <w:bCs w:val="0"/>
                <w:color w:val="auto"/>
                <w:sz w:val="21"/>
                <w:szCs w:val="21"/>
                <w:lang w:val="en-US" w:eastAsia="zh-CN"/>
              </w:rPr>
              <w:t>就业补助资金管理不规范。</w:t>
            </w:r>
            <w:r>
              <w:rPr>
                <w:rFonts w:hint="eastAsia" w:ascii="仿宋" w:hAnsi="仿宋" w:eastAsia="仿宋" w:cs="仿宋"/>
                <w:color w:val="auto"/>
                <w:sz w:val="21"/>
                <w:szCs w:val="21"/>
                <w:lang w:val="en-US" w:eastAsia="zh-CN"/>
              </w:rPr>
              <w:t>县财政拨付</w:t>
            </w:r>
            <w:r>
              <w:rPr>
                <w:rFonts w:hint="eastAsia" w:ascii="仿宋" w:hAnsi="仿宋" w:eastAsia="仿宋" w:cs="仿宋"/>
                <w:b w:val="0"/>
                <w:bCs w:val="0"/>
                <w:color w:val="auto"/>
                <w:sz w:val="21"/>
                <w:szCs w:val="21"/>
                <w:lang w:val="en-US" w:eastAsia="zh-CN"/>
              </w:rPr>
              <w:t>米脂县人力资源和社会保障局县级公益性岗位人员补贴通过第三方发放。</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一是进一步了解和掌握市人社部门和周边县区县级公益性岗位人员补贴发放办法；二是修订完善我县就业补助资金管理办法；三是建立我县县级公益性岗位人员补贴发放新机制。</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刘世功</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预算股</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社保股</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整改责任人：常东芳</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tcBorders>
              <w:bottom w:val="nil"/>
            </w:tcBorders>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422" w:firstLineChars="200"/>
              <w:jc w:val="both"/>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三是</w:t>
            </w:r>
            <w:r>
              <w:rPr>
                <w:rFonts w:hint="eastAsia" w:ascii="仿宋" w:hAnsi="仿宋" w:eastAsia="仿宋" w:cs="仿宋"/>
                <w:b w:val="0"/>
                <w:bCs w:val="0"/>
                <w:color w:val="auto"/>
                <w:sz w:val="21"/>
                <w:szCs w:val="21"/>
                <w:lang w:val="en-US" w:eastAsia="zh-CN"/>
              </w:rPr>
              <w:t>往来资金未达账项数量大。由于资金来源单位不明确，截止2023年10月31日财政往来资金未达款项560.64万元，其中2013年至2018年底前未达款项仍挂账64.58万元。</w:t>
            </w:r>
          </w:p>
          <w:p>
            <w:pPr>
              <w:pStyle w:val="5"/>
              <w:spacing w:line="240" w:lineRule="auto"/>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一是进一步摸清底子，于银行核对，复印</w:t>
            </w:r>
            <w:r>
              <w:rPr>
                <w:rFonts w:hint="eastAsia" w:ascii="仿宋" w:hAnsi="仿宋" w:eastAsia="仿宋" w:cs="仿宋"/>
                <w:b w:val="0"/>
                <w:bCs w:val="0"/>
                <w:color w:val="auto"/>
                <w:sz w:val="21"/>
                <w:szCs w:val="21"/>
                <w:lang w:val="en-US" w:eastAsia="zh-CN"/>
              </w:rPr>
              <w:t>往来资金未达账项所有原始单账加盖业务公章后分送相关领导、相关股所负责人召开研究处理分析方案；二是召集或深入与发函等多种方式双向疑似部门单位调查核实；三是与全县部门单位核实后、确实无法确认的收回财政暂列其他收入处理。</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支付中心</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各资金归口管理股所</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整改责任人：支付中心资金归口管理股所主要负责人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bottom w:val="single" w:color="auto" w:sz="4" w:space="0"/>
            </w:tcBorders>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strike w:val="0"/>
                <w:dstrike w:val="0"/>
                <w:color w:val="auto"/>
                <w:sz w:val="21"/>
                <w:szCs w:val="21"/>
                <w:u w:val="none"/>
                <w:lang w:val="en-US" w:eastAsia="zh-CN"/>
              </w:rPr>
              <w:t xml:space="preserve">  4.预算绩效管理质量不高。</w:t>
            </w:r>
          </w:p>
        </w:tc>
        <w:tc>
          <w:tcPr>
            <w:tcW w:w="7066" w:type="dxa"/>
            <w:tcBorders>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strike w:val="0"/>
                <w:dstrike w:val="0"/>
                <w:color w:val="auto"/>
                <w:sz w:val="21"/>
                <w:szCs w:val="21"/>
                <w:u w:val="none"/>
                <w:lang w:val="en-US" w:eastAsia="zh-CN"/>
              </w:rPr>
              <w:t>预算绩效管理范围小、评价指标体系不完善、</w:t>
            </w:r>
            <w:r>
              <w:rPr>
                <w:rFonts w:hint="eastAsia" w:ascii="仿宋" w:hAnsi="仿宋" w:eastAsia="仿宋" w:cs="仿宋"/>
                <w:color w:val="auto"/>
                <w:sz w:val="21"/>
                <w:szCs w:val="21"/>
                <w:lang w:val="en-US" w:eastAsia="zh-CN"/>
              </w:rPr>
              <w:t>评价结果应用率低</w:t>
            </w:r>
            <w:r>
              <w:rPr>
                <w:rFonts w:hint="eastAsia" w:ascii="仿宋" w:hAnsi="仿宋" w:eastAsia="仿宋" w:cs="仿宋"/>
                <w:strike w:val="0"/>
                <w:dstrike w:val="0"/>
                <w:color w:val="auto"/>
                <w:sz w:val="21"/>
                <w:szCs w:val="21"/>
                <w:u w:val="none"/>
                <w:lang w:val="en-US" w:eastAsia="zh-CN"/>
              </w:rPr>
              <w:t>，</w:t>
            </w:r>
            <w:r>
              <w:rPr>
                <w:rFonts w:hint="eastAsia" w:ascii="仿宋" w:hAnsi="仿宋" w:eastAsia="仿宋" w:cs="仿宋"/>
                <w:b w:val="0"/>
                <w:bCs w:val="0"/>
                <w:color w:val="auto"/>
                <w:sz w:val="21"/>
                <w:szCs w:val="21"/>
                <w:lang w:val="en-US" w:eastAsia="zh-CN"/>
              </w:rPr>
              <w:t>个别</w:t>
            </w:r>
            <w:r>
              <w:rPr>
                <w:rFonts w:hint="eastAsia" w:ascii="仿宋" w:hAnsi="仿宋" w:eastAsia="仿宋" w:cs="仿宋"/>
                <w:color w:val="auto"/>
                <w:sz w:val="21"/>
                <w:szCs w:val="21"/>
                <w:lang w:val="en-US" w:eastAsia="zh-CN"/>
              </w:rPr>
              <w:t>项目事前未进行绩效评估和前期审批，资金到位后无法及时支出，资金使用效益发挥不充分，无法引起预算单位高度重视，未形成绩效管理结果应用倒逼机制。</w:t>
            </w:r>
          </w:p>
          <w:p>
            <w:pPr>
              <w:pStyle w:val="5"/>
              <w:spacing w:line="240" w:lineRule="auto"/>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一是将县财政预算绩效管理股改为预算绩效中心，调整增加专业人员</w:t>
            </w:r>
            <w:r>
              <w:rPr>
                <w:rFonts w:hint="eastAsia" w:ascii="仿宋" w:hAnsi="仿宋" w:eastAsia="仿宋" w:cs="仿宋"/>
                <w:color w:val="auto"/>
                <w:sz w:val="21"/>
                <w:szCs w:val="21"/>
                <w:lang w:val="en-US" w:eastAsia="zh-CN"/>
              </w:rPr>
              <w:t>5-8名，加强全覆盖机构和制度体系建设；二是督促部门或单位严格贯彻执行县委政府两办印发的《米脂县财政支出事前绩效评估管理暂行办法》和县财政局印发的《米脂县财政支出事前绩效评估管理实施细则》；三是积极汇报县委县政府，采取倒逼机制推进绩效管理结果应用长效机制。</w:t>
            </w:r>
          </w:p>
        </w:tc>
        <w:tc>
          <w:tcPr>
            <w:tcW w:w="2669" w:type="dxa"/>
            <w:vAlign w:val="top"/>
          </w:tcPr>
          <w:p>
            <w:pPr>
              <w:spacing w:before="91" w:line="389" w:lineRule="exact"/>
              <w:ind w:left="197"/>
              <w:rPr>
                <w:rFonts w:hint="eastAsia" w:ascii="仿宋" w:hAnsi="仿宋" w:eastAsia="仿宋" w:cs="仿宋"/>
                <w:color w:val="auto"/>
                <w:sz w:val="18"/>
                <w:szCs w:val="18"/>
                <w:lang w:eastAsia="zh-CN"/>
              </w:rPr>
            </w:pPr>
            <w:r>
              <w:rPr>
                <w:rFonts w:hint="eastAsia" w:ascii="仿宋" w:hAnsi="仿宋" w:eastAsia="仿宋" w:cs="仿宋"/>
                <w:color w:val="auto"/>
                <w:spacing w:val="-1"/>
                <w:position w:val="6"/>
                <w:sz w:val="18"/>
                <w:szCs w:val="18"/>
                <w:lang w:eastAsia="zh-CN"/>
              </w:rPr>
              <w:t>牵头</w:t>
            </w:r>
            <w:r>
              <w:rPr>
                <w:rFonts w:hint="eastAsia" w:ascii="仿宋" w:hAnsi="仿宋" w:eastAsia="仿宋" w:cs="仿宋"/>
                <w:color w:val="auto"/>
                <w:spacing w:val="-1"/>
                <w:position w:val="6"/>
                <w:sz w:val="18"/>
                <w:szCs w:val="18"/>
              </w:rPr>
              <w:t>责任领导：</w:t>
            </w:r>
            <w:r>
              <w:rPr>
                <w:rFonts w:hint="eastAsia" w:ascii="仿宋" w:hAnsi="仿宋" w:eastAsia="仿宋" w:cs="仿宋"/>
                <w:color w:val="auto"/>
                <w:spacing w:val="-1"/>
                <w:position w:val="6"/>
                <w:sz w:val="18"/>
                <w:szCs w:val="18"/>
                <w:lang w:eastAsia="zh-CN"/>
              </w:rPr>
              <w:t>姜体鹏</w:t>
            </w:r>
          </w:p>
          <w:p>
            <w:pPr>
              <w:spacing w:line="218" w:lineRule="auto"/>
              <w:ind w:left="197"/>
              <w:rPr>
                <w:rFonts w:hint="eastAsia" w:ascii="仿宋" w:hAnsi="仿宋" w:eastAsia="仿宋" w:cs="仿宋"/>
                <w:color w:val="auto"/>
                <w:sz w:val="18"/>
                <w:szCs w:val="18"/>
                <w:lang w:eastAsia="zh-CN"/>
              </w:rPr>
            </w:pPr>
            <w:r>
              <w:rPr>
                <w:rFonts w:hint="eastAsia" w:ascii="仿宋" w:hAnsi="仿宋" w:eastAsia="仿宋" w:cs="仿宋"/>
                <w:color w:val="auto"/>
                <w:spacing w:val="-1"/>
                <w:sz w:val="18"/>
                <w:szCs w:val="18"/>
              </w:rPr>
              <w:t>牵头单位：</w:t>
            </w:r>
            <w:r>
              <w:rPr>
                <w:rFonts w:hint="eastAsia" w:ascii="仿宋" w:hAnsi="仿宋" w:eastAsia="仿宋" w:cs="仿宋"/>
                <w:color w:val="auto"/>
                <w:spacing w:val="-1"/>
                <w:sz w:val="18"/>
                <w:szCs w:val="18"/>
                <w:lang w:eastAsia="zh-CN"/>
              </w:rPr>
              <w:t>预算绩效中心</w:t>
            </w:r>
          </w:p>
          <w:p>
            <w:pPr>
              <w:spacing w:before="48" w:line="220" w:lineRule="auto"/>
              <w:ind w:left="197"/>
              <w:rPr>
                <w:rFonts w:hint="default" w:ascii="仿宋" w:hAnsi="仿宋" w:eastAsia="仿宋" w:cs="仿宋"/>
                <w:color w:val="auto"/>
                <w:spacing w:val="-1"/>
                <w:sz w:val="18"/>
                <w:szCs w:val="18"/>
                <w:lang w:val="en-US" w:eastAsia="zh-CN"/>
              </w:rPr>
            </w:pPr>
            <w:r>
              <w:rPr>
                <w:rFonts w:hint="eastAsia" w:ascii="仿宋" w:hAnsi="仿宋" w:eastAsia="仿宋" w:cs="仿宋"/>
                <w:color w:val="auto"/>
                <w:spacing w:val="-1"/>
                <w:sz w:val="18"/>
                <w:szCs w:val="18"/>
              </w:rPr>
              <w:t>落实</w:t>
            </w:r>
            <w:r>
              <w:rPr>
                <w:rFonts w:hint="eastAsia" w:ascii="仿宋" w:hAnsi="仿宋" w:eastAsia="仿宋" w:cs="仿宋"/>
                <w:color w:val="auto"/>
                <w:spacing w:val="-1"/>
                <w:sz w:val="18"/>
                <w:szCs w:val="18"/>
                <w:lang w:eastAsia="zh-CN"/>
              </w:rPr>
              <w:t>责任</w:t>
            </w:r>
            <w:r>
              <w:rPr>
                <w:rFonts w:hint="eastAsia" w:ascii="仿宋" w:hAnsi="仿宋" w:eastAsia="仿宋" w:cs="仿宋"/>
                <w:color w:val="auto"/>
                <w:spacing w:val="-1"/>
                <w:sz w:val="18"/>
                <w:szCs w:val="18"/>
              </w:rPr>
              <w:t>单位：</w:t>
            </w:r>
            <w:r>
              <w:rPr>
                <w:rFonts w:hint="eastAsia" w:ascii="仿宋" w:hAnsi="仿宋" w:eastAsia="仿宋" w:cs="仿宋"/>
                <w:color w:val="auto"/>
                <w:spacing w:val="-1"/>
                <w:sz w:val="18"/>
                <w:szCs w:val="18"/>
                <w:lang w:eastAsia="zh-CN"/>
              </w:rPr>
              <w:t>各</w:t>
            </w:r>
            <w:r>
              <w:rPr>
                <w:rFonts w:hint="eastAsia" w:ascii="仿宋" w:hAnsi="仿宋" w:eastAsia="仿宋" w:cs="仿宋"/>
                <w:color w:val="auto"/>
                <w:spacing w:val="-1"/>
                <w:sz w:val="18"/>
                <w:szCs w:val="18"/>
                <w:lang w:val="en-US" w:eastAsia="zh-CN"/>
              </w:rPr>
              <w:t>资金归口管理股所</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18"/>
                <w:szCs w:val="18"/>
                <w:lang w:eastAsia="zh-CN"/>
              </w:rPr>
              <w:t>整改责任人：各</w:t>
            </w:r>
            <w:r>
              <w:rPr>
                <w:rFonts w:hint="eastAsia" w:ascii="仿宋" w:hAnsi="仿宋" w:eastAsia="仿宋" w:cs="仿宋"/>
                <w:color w:val="auto"/>
                <w:spacing w:val="-1"/>
                <w:sz w:val="18"/>
                <w:szCs w:val="18"/>
                <w:lang w:val="en-US" w:eastAsia="zh-CN"/>
              </w:rPr>
              <w:t>资金归口管理股所主要负责人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1633" w:type="dxa"/>
            <w:vMerge w:val="continue"/>
            <w:tcBorders>
              <w:right w:val="single" w:color="auto" w:sz="4" w:space="0"/>
            </w:tcBorders>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5.财会监督作用发挥不充分。</w:t>
            </w:r>
          </w:p>
        </w:tc>
        <w:tc>
          <w:tcPr>
            <w:tcW w:w="70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420" w:firstLineChars="200"/>
              <w:jc w:val="both"/>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 w:val="0"/>
                <w:bCs w:val="0"/>
                <w:color w:val="auto"/>
                <w:sz w:val="21"/>
                <w:szCs w:val="21"/>
                <w:lang w:val="en-US" w:eastAsia="zh-CN"/>
              </w:rPr>
              <w:t>由于财政专职监督检查机构单位性质转变，致使财政监督执法履职不到位，只能起到对财会信息质量检查和指导的作用；各预算单位内控机制不健全，内控监督工作推动不力。</w:t>
            </w:r>
          </w:p>
          <w:p>
            <w:pPr>
              <w:pStyle w:val="5"/>
              <w:ind w:firstLine="422" w:firstLineChars="200"/>
              <w:rPr>
                <w:rFonts w:hint="eastAsia" w:ascii="仿宋" w:hAnsi="仿宋" w:eastAsia="仿宋" w:cs="仿宋"/>
                <w:b/>
                <w:bCs/>
                <w:color w:val="auto"/>
                <w:sz w:val="21"/>
                <w:szCs w:val="21"/>
                <w:lang w:val="en-US" w:eastAsia="zh-CN"/>
              </w:rPr>
            </w:pPr>
          </w:p>
        </w:tc>
        <w:tc>
          <w:tcPr>
            <w:tcW w:w="6480" w:type="dxa"/>
            <w:tcBorders>
              <w:left w:val="single" w:color="auto" w:sz="4" w:space="0"/>
            </w:tcBorders>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一是认真学习新时期财政财务会计监督制度体系，理清职责；二是进一步加强监督与指导全县部门单位内控机制建设，推动财会监督发挥作用。</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罗有随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监控所</w:t>
            </w:r>
          </w:p>
          <w:p>
            <w:pPr>
              <w:spacing w:before="48" w:line="220"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18"/>
                <w:szCs w:val="18"/>
                <w:lang w:eastAsia="zh-CN"/>
              </w:rPr>
              <w:t>各</w:t>
            </w:r>
            <w:r>
              <w:rPr>
                <w:rFonts w:hint="eastAsia" w:ascii="仿宋" w:hAnsi="仿宋" w:eastAsia="仿宋" w:cs="仿宋"/>
                <w:color w:val="auto"/>
                <w:spacing w:val="-1"/>
                <w:sz w:val="18"/>
                <w:szCs w:val="18"/>
                <w:lang w:val="en-US" w:eastAsia="zh-CN"/>
              </w:rPr>
              <w:t>资金归口管理股所等</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w:t>
            </w:r>
            <w:r>
              <w:rPr>
                <w:rFonts w:hint="eastAsia" w:ascii="仿宋" w:hAnsi="仿宋" w:eastAsia="仿宋" w:cs="仿宋"/>
                <w:color w:val="auto"/>
                <w:spacing w:val="-1"/>
                <w:sz w:val="18"/>
                <w:szCs w:val="18"/>
                <w:lang w:eastAsia="zh-CN"/>
              </w:rPr>
              <w:t>各</w:t>
            </w:r>
            <w:r>
              <w:rPr>
                <w:rFonts w:hint="eastAsia" w:ascii="仿宋" w:hAnsi="仿宋" w:eastAsia="仿宋" w:cs="仿宋"/>
                <w:color w:val="auto"/>
                <w:spacing w:val="-1"/>
                <w:sz w:val="18"/>
                <w:szCs w:val="18"/>
                <w:lang w:val="en-US" w:eastAsia="zh-CN"/>
              </w:rPr>
              <w:t>资金归口管理股所主要负责人等</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restart"/>
            <w:tcBorders>
              <w:top w:val="single" w:color="auto" w:sz="4" w:space="0"/>
            </w:tcBorders>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6.预算评审效率不高。</w:t>
            </w:r>
          </w:p>
        </w:tc>
        <w:tc>
          <w:tcPr>
            <w:tcW w:w="7066" w:type="dxa"/>
            <w:tcBorders>
              <w:top w:val="single" w:color="auto" w:sz="4" w:space="0"/>
            </w:tcBorders>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一是</w:t>
            </w:r>
            <w:r>
              <w:rPr>
                <w:rFonts w:hint="eastAsia" w:ascii="仿宋" w:hAnsi="仿宋" w:eastAsia="仿宋" w:cs="仿宋"/>
                <w:b w:val="0"/>
                <w:bCs w:val="0"/>
                <w:color w:val="auto"/>
                <w:sz w:val="21"/>
                <w:szCs w:val="21"/>
                <w:lang w:val="en-US" w:eastAsia="zh-CN"/>
              </w:rPr>
              <w:t>预算审核软件不齐全、业务人员不专业，对报审资料规范性、完整性不能及时予以确认，审核时反复补充、校正预算，与建设单位对接认证困难，致</w:t>
            </w:r>
            <w:r>
              <w:rPr>
                <w:rFonts w:hint="eastAsia" w:ascii="仿宋" w:hAnsi="仿宋" w:eastAsia="仿宋" w:cs="仿宋"/>
                <w:color w:val="auto"/>
                <w:sz w:val="21"/>
                <w:szCs w:val="21"/>
                <w:lang w:val="en-US" w:eastAsia="zh-CN"/>
              </w:rPr>
              <w:t>使评审耗时较长。</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一是增加专业人员，更换预算审核软件系统；二是建立在政府网站申报与建设单位对接新机制。</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刘世功</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信息中心</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预审办</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整改责任人：姬文斗</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二是</w:t>
            </w:r>
            <w:r>
              <w:rPr>
                <w:rFonts w:hint="eastAsia" w:ascii="仿宋" w:hAnsi="仿宋" w:eastAsia="仿宋" w:cs="仿宋"/>
                <w:b w:val="0"/>
                <w:bCs w:val="0"/>
                <w:color w:val="auto"/>
                <w:sz w:val="21"/>
                <w:szCs w:val="21"/>
                <w:lang w:val="en-US" w:eastAsia="zh-CN"/>
              </w:rPr>
              <w:t>项目预审管理机制不健全，《米脂县政府投资工程建设项目监督管理办法（暂行）》（米政发〔2020〕2号）于2022年3月9日到期后至今未修订印发新管理办法；</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一是认真学习兄弟县市区项目资金预算审查管理机制；二是督促尽快出台《米脂县政府投资工程建设项目监督管理办法》。</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刘世功</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经建股</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预审办</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整改责任人：姬文斗</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1633" w:type="dxa"/>
            <w:vMerge w:val="continue"/>
            <w:vAlign w:val="center"/>
          </w:tcPr>
          <w:p>
            <w:pPr>
              <w:spacing w:before="94" w:line="221" w:lineRule="auto"/>
              <w:ind w:left="130"/>
              <w:jc w:val="center"/>
              <w:rPr>
                <w:rFonts w:hint="eastAsia" w:ascii="仿宋" w:hAnsi="仿宋" w:eastAsia="仿宋" w:cs="仿宋"/>
                <w:color w:val="auto"/>
                <w:sz w:val="21"/>
                <w:szCs w:val="21"/>
              </w:rPr>
            </w:pPr>
          </w:p>
        </w:tc>
        <w:tc>
          <w:tcPr>
            <w:tcW w:w="1125" w:type="dxa"/>
            <w:vMerge w:val="continue"/>
            <w:tcBorders>
              <w:bottom w:val="nil"/>
            </w:tcBorders>
            <w:vAlign w:val="center"/>
          </w:tcPr>
          <w:p>
            <w:pPr>
              <w:pStyle w:val="5"/>
              <w:jc w:val="center"/>
              <w:rPr>
                <w:rFonts w:hint="eastAsia" w:ascii="仿宋" w:hAnsi="仿宋" w:eastAsia="仿宋" w:cs="仿宋"/>
                <w:b/>
                <w:bCs/>
                <w:color w:val="auto"/>
                <w:sz w:val="21"/>
                <w:szCs w:val="21"/>
                <w:lang w:val="en-US" w:eastAsia="zh-CN"/>
              </w:rPr>
            </w:pPr>
          </w:p>
        </w:tc>
        <w:tc>
          <w:tcPr>
            <w:tcW w:w="7066" w:type="dxa"/>
            <w:vAlign w:val="top"/>
          </w:tcPr>
          <w:p>
            <w:pPr>
              <w:keepNext w:val="0"/>
              <w:keepLines w:val="0"/>
              <w:pageBreakBefore w:val="0"/>
              <w:widowControl w:val="0"/>
              <w:tabs>
                <w:tab w:val="left" w:pos="312"/>
              </w:tabs>
              <w:kinsoku/>
              <w:wordWrap/>
              <w:overflowPunct/>
              <w:topLinePunct w:val="0"/>
              <w:autoSpaceDE/>
              <w:autoSpaceDN/>
              <w:bidi w:val="0"/>
              <w:adjustRightInd/>
              <w:snapToGrid/>
              <w:spacing w:line="498" w:lineRule="exact"/>
              <w:ind w:firstLine="422" w:firstLineChars="20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三是</w:t>
            </w:r>
            <w:r>
              <w:rPr>
                <w:rFonts w:hint="eastAsia" w:ascii="仿宋" w:hAnsi="仿宋" w:eastAsia="仿宋" w:cs="仿宋"/>
                <w:b w:val="0"/>
                <w:bCs w:val="0"/>
                <w:color w:val="auto"/>
                <w:sz w:val="21"/>
                <w:szCs w:val="21"/>
                <w:lang w:val="en-US" w:eastAsia="zh-CN"/>
              </w:rPr>
              <w:t>地方材料询价机制不完善，材料价格不及时、不全面、不合理。</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一是组织人员认真调研，形成调研报告，向县委政府汇报；二是通过县人大、政协调研监督</w:t>
            </w:r>
            <w:r>
              <w:rPr>
                <w:rFonts w:hint="eastAsia" w:ascii="仿宋" w:hAnsi="仿宋" w:eastAsia="仿宋" w:cs="仿宋"/>
                <w:b w:val="0"/>
                <w:bCs w:val="0"/>
                <w:color w:val="auto"/>
                <w:sz w:val="21"/>
                <w:szCs w:val="21"/>
                <w:lang w:val="en-US" w:eastAsia="zh-CN"/>
              </w:rPr>
              <w:t>完善地方材料询价正常机制。</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刘世功</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预审办</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预审办</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整改责任人：姬文斗</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w:t>
            </w:r>
          </w:p>
        </w:tc>
        <w:tc>
          <w:tcPr>
            <w:tcW w:w="1633" w:type="dxa"/>
            <w:vMerge w:val="continue"/>
            <w:tcBorders>
              <w:bottom w:val="nil"/>
            </w:tcBorders>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bottom w:val="nil"/>
            </w:tcBorders>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7.财务制度执行不严格。</w:t>
            </w:r>
          </w:p>
        </w:tc>
        <w:tc>
          <w:tcPr>
            <w:tcW w:w="7066"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b w:val="0"/>
                <w:bCs w:val="0"/>
                <w:color w:val="auto"/>
                <w:sz w:val="21"/>
                <w:szCs w:val="21"/>
                <w:lang w:val="en-US" w:eastAsia="zh-CN"/>
              </w:rPr>
              <w:t>2020年、</w:t>
            </w:r>
            <w:r>
              <w:rPr>
                <w:rFonts w:hint="eastAsia" w:ascii="仿宋" w:hAnsi="仿宋" w:eastAsia="仿宋" w:cs="仿宋"/>
                <w:bCs/>
                <w:color w:val="auto"/>
                <w:sz w:val="21"/>
                <w:szCs w:val="21"/>
              </w:rPr>
              <w:t>2021年</w:t>
            </w:r>
            <w:r>
              <w:rPr>
                <w:rFonts w:hint="eastAsia" w:ascii="仿宋" w:hAnsi="仿宋" w:eastAsia="仿宋" w:cs="仿宋"/>
                <w:color w:val="auto"/>
                <w:sz w:val="21"/>
                <w:szCs w:val="21"/>
              </w:rPr>
              <w:t>同时购买省级互助保险和市级互助保险</w:t>
            </w:r>
            <w:r>
              <w:rPr>
                <w:rFonts w:hint="eastAsia" w:ascii="仿宋" w:hAnsi="仿宋" w:eastAsia="仿宋" w:cs="仿宋"/>
                <w:color w:val="auto"/>
                <w:sz w:val="21"/>
                <w:szCs w:val="21"/>
                <w:lang w:eastAsia="zh-CN"/>
              </w:rPr>
              <w:t>，</w:t>
            </w:r>
            <w:r>
              <w:rPr>
                <w:rFonts w:hint="eastAsia" w:ascii="仿宋" w:hAnsi="仿宋" w:eastAsia="仿宋" w:cs="仿宋"/>
                <w:bCs/>
                <w:color w:val="auto"/>
                <w:sz w:val="21"/>
                <w:szCs w:val="21"/>
              </w:rPr>
              <w:t>2020年</w:t>
            </w:r>
            <w:r>
              <w:rPr>
                <w:rFonts w:hint="eastAsia" w:ascii="仿宋" w:hAnsi="仿宋" w:eastAsia="仿宋" w:cs="仿宋"/>
                <w:bCs/>
                <w:color w:val="auto"/>
                <w:sz w:val="21"/>
                <w:szCs w:val="21"/>
                <w:lang w:eastAsia="zh-CN"/>
              </w:rPr>
              <w:t>购买</w:t>
            </w:r>
            <w:r>
              <w:rPr>
                <w:rFonts w:hint="eastAsia" w:ascii="仿宋" w:hAnsi="仿宋" w:eastAsia="仿宋" w:cs="仿宋"/>
                <w:color w:val="auto"/>
                <w:sz w:val="21"/>
                <w:szCs w:val="21"/>
              </w:rPr>
              <w:t>市级</w:t>
            </w:r>
            <w:r>
              <w:rPr>
                <w:rFonts w:hint="eastAsia" w:ascii="仿宋" w:hAnsi="仿宋" w:eastAsia="仿宋" w:cs="仿宋"/>
                <w:color w:val="auto"/>
                <w:sz w:val="21"/>
                <w:szCs w:val="21"/>
                <w:lang w:eastAsia="zh-CN"/>
              </w:rPr>
              <w:t>工会</w:t>
            </w:r>
            <w:r>
              <w:rPr>
                <w:rFonts w:hint="eastAsia" w:ascii="仿宋" w:hAnsi="仿宋" w:eastAsia="仿宋" w:cs="仿宋"/>
                <w:color w:val="auto"/>
                <w:sz w:val="21"/>
                <w:szCs w:val="21"/>
              </w:rPr>
              <w:t>互助保险</w:t>
            </w:r>
            <w:r>
              <w:rPr>
                <w:rFonts w:hint="eastAsia" w:ascii="仿宋" w:hAnsi="仿宋" w:eastAsia="仿宋" w:cs="仿宋"/>
                <w:color w:val="auto"/>
                <w:sz w:val="21"/>
                <w:szCs w:val="21"/>
                <w:lang w:eastAsia="zh-CN"/>
              </w:rPr>
              <w:t>无正式发票，</w:t>
            </w:r>
            <w:r>
              <w:rPr>
                <w:rFonts w:hint="eastAsia" w:ascii="仿宋" w:hAnsi="仿宋" w:eastAsia="仿宋" w:cs="仿宋"/>
                <w:color w:val="auto"/>
                <w:sz w:val="21"/>
                <w:szCs w:val="21"/>
                <w:lang w:val="en-US" w:eastAsia="zh-CN"/>
              </w:rPr>
              <w:t>2021年购买省级、市级</w:t>
            </w:r>
            <w:r>
              <w:rPr>
                <w:rFonts w:hint="eastAsia" w:ascii="仿宋" w:hAnsi="仿宋" w:eastAsia="仿宋" w:cs="仿宋"/>
                <w:color w:val="auto"/>
                <w:sz w:val="21"/>
                <w:szCs w:val="21"/>
              </w:rPr>
              <w:t>均无正式发票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2020年</w:t>
            </w:r>
            <w:r>
              <w:rPr>
                <w:rFonts w:hint="eastAsia" w:ascii="仿宋" w:hAnsi="仿宋" w:eastAsia="仿宋" w:cs="仿宋"/>
                <w:color w:val="auto"/>
                <w:sz w:val="21"/>
                <w:szCs w:val="21"/>
              </w:rPr>
              <w:t>预审劳务费转给个人10450元，</w:t>
            </w:r>
            <w:r>
              <w:rPr>
                <w:rFonts w:hint="eastAsia" w:ascii="仿宋" w:hAnsi="仿宋" w:eastAsia="仿宋" w:cs="仿宋"/>
                <w:color w:val="auto"/>
                <w:sz w:val="21"/>
                <w:szCs w:val="21"/>
                <w:lang w:val="en-US" w:eastAsia="zh-CN"/>
              </w:rPr>
              <w:t>2021年</w:t>
            </w:r>
            <w:r>
              <w:rPr>
                <w:rFonts w:hint="eastAsia" w:ascii="仿宋" w:hAnsi="仿宋" w:eastAsia="仿宋" w:cs="仿宋"/>
                <w:color w:val="auto"/>
                <w:sz w:val="21"/>
                <w:szCs w:val="21"/>
              </w:rPr>
              <w:t>工程造价咨询费转给个人4000元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附属说明资料不齐全</w:t>
            </w:r>
            <w:r>
              <w:rPr>
                <w:rFonts w:hint="eastAsia" w:ascii="仿宋" w:hAnsi="仿宋" w:eastAsia="仿宋" w:cs="仿宋"/>
                <w:color w:val="auto"/>
                <w:sz w:val="21"/>
                <w:szCs w:val="21"/>
              </w:rPr>
              <w:t>。</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一是进一步核实核对同时购买省市互助保险和市级工会互助保险有无正式发票并作业务正规处理；二是按规定附全劳务费和咨询费转入个人账户所需会计资料。</w:t>
            </w:r>
          </w:p>
        </w:tc>
        <w:tc>
          <w:tcPr>
            <w:tcW w:w="2669" w:type="dxa"/>
            <w:vAlign w:val="top"/>
          </w:tcPr>
          <w:p>
            <w:pPr>
              <w:spacing w:before="91" w:line="389" w:lineRule="exact"/>
              <w:ind w:left="197"/>
              <w:rPr>
                <w:rFonts w:hint="default" w:ascii="仿宋" w:hAnsi="仿宋" w:eastAsia="仿宋" w:cs="仿宋"/>
                <w:color w:val="auto"/>
                <w:sz w:val="21"/>
                <w:szCs w:val="21"/>
                <w:lang w:val="en-US"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刘世功</w:t>
            </w:r>
            <w:r>
              <w:rPr>
                <w:rFonts w:hint="eastAsia" w:ascii="仿宋" w:hAnsi="仿宋" w:eastAsia="仿宋" w:cs="仿宋"/>
                <w:color w:val="auto"/>
                <w:spacing w:val="-1"/>
                <w:position w:val="6"/>
                <w:sz w:val="21"/>
                <w:szCs w:val="21"/>
                <w:lang w:val="en-US" w:eastAsia="zh-CN"/>
              </w:rPr>
              <w:t>.吕学利</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default" w:ascii="仿宋" w:hAnsi="仿宋" w:eastAsia="仿宋" w:cs="仿宋"/>
                <w:color w:val="auto"/>
                <w:spacing w:val="-1"/>
                <w:sz w:val="21"/>
                <w:szCs w:val="21"/>
                <w:lang w:val="en-US"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局工会</w:t>
            </w:r>
            <w:r>
              <w:rPr>
                <w:rFonts w:hint="eastAsia" w:ascii="仿宋" w:hAnsi="仿宋" w:eastAsia="仿宋" w:cs="仿宋"/>
                <w:color w:val="auto"/>
                <w:spacing w:val="-1"/>
                <w:sz w:val="21"/>
                <w:szCs w:val="21"/>
                <w:lang w:val="en-US" w:eastAsia="zh-CN"/>
              </w:rPr>
              <w:t>.预审办</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整改责任人：局工会</w:t>
            </w:r>
            <w:r>
              <w:rPr>
                <w:rFonts w:hint="eastAsia" w:ascii="仿宋" w:hAnsi="仿宋" w:eastAsia="仿宋" w:cs="仿宋"/>
                <w:color w:val="auto"/>
                <w:spacing w:val="-1"/>
                <w:sz w:val="21"/>
                <w:szCs w:val="21"/>
                <w:lang w:val="en-US" w:eastAsia="zh-CN"/>
              </w:rPr>
              <w:t>.预审办主要负责人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spacing w:before="48" w:line="22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1633" w:type="dxa"/>
            <w:vMerge w:val="restart"/>
            <w:vAlign w:val="center"/>
          </w:tcPr>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lang w:val="en-US" w:eastAsia="zh-CN"/>
              </w:rPr>
            </w:pPr>
            <w:r>
              <w:rPr>
                <w:rFonts w:hint="eastAsia" w:ascii="仿宋" w:hAnsi="仿宋" w:eastAsia="仿宋" w:cs="仿宋"/>
                <w:b/>
                <w:bCs w:val="0"/>
                <w:color w:val="auto"/>
                <w:sz w:val="22"/>
                <w:szCs w:val="22"/>
              </w:rPr>
              <w:t>（三）聚焦基层党组织领导建设情况，促进提升基层党组织整治功能和组织力方面</w:t>
            </w:r>
          </w:p>
          <w:p>
            <w:pPr>
              <w:spacing w:before="94" w:line="221" w:lineRule="auto"/>
              <w:ind w:left="130"/>
              <w:jc w:val="center"/>
              <w:rPr>
                <w:rFonts w:hint="eastAsia" w:ascii="仿宋" w:hAnsi="仿宋" w:eastAsia="仿宋" w:cs="仿宋"/>
                <w:b/>
                <w:bCs w:val="0"/>
                <w:color w:val="auto"/>
                <w:sz w:val="21"/>
                <w:szCs w:val="21"/>
              </w:rPr>
            </w:pPr>
          </w:p>
        </w:tc>
        <w:tc>
          <w:tcPr>
            <w:tcW w:w="1125" w:type="dxa"/>
            <w:vMerge w:val="restart"/>
            <w:vAlign w:val="center"/>
          </w:tcPr>
          <w:p>
            <w:pPr>
              <w:pStyle w:val="5"/>
              <w:jc w:val="center"/>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w:t>
            </w:r>
            <w:r>
              <w:rPr>
                <w:rFonts w:hint="eastAsia" w:ascii="仿宋" w:hAnsi="仿宋" w:eastAsia="仿宋" w:cs="仿宋"/>
                <w:b/>
                <w:bCs w:val="0"/>
                <w:color w:val="auto"/>
                <w:sz w:val="21"/>
                <w:szCs w:val="21"/>
              </w:rPr>
              <w:t>党内政治生活不严肃。</w:t>
            </w:r>
          </w:p>
        </w:tc>
        <w:tc>
          <w:tcPr>
            <w:tcW w:w="7066" w:type="dxa"/>
            <w:vAlign w:val="top"/>
          </w:tcPr>
          <w:p>
            <w:pPr>
              <w:pStyle w:val="5"/>
              <w:ind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一是</w:t>
            </w:r>
            <w:r>
              <w:rPr>
                <w:rFonts w:hint="eastAsia" w:ascii="仿宋" w:hAnsi="仿宋" w:eastAsia="仿宋" w:cs="仿宋"/>
                <w:bCs/>
                <w:color w:val="auto"/>
                <w:sz w:val="21"/>
                <w:szCs w:val="21"/>
              </w:rPr>
              <w:t>民主生活会</w:t>
            </w:r>
            <w:r>
              <w:rPr>
                <w:rFonts w:hint="eastAsia" w:ascii="仿宋" w:hAnsi="仿宋" w:eastAsia="仿宋" w:cs="仿宋"/>
                <w:bCs/>
                <w:color w:val="auto"/>
                <w:sz w:val="21"/>
                <w:szCs w:val="21"/>
                <w:lang w:val="en-US" w:eastAsia="zh-CN"/>
              </w:rPr>
              <w:t>准备不充分。</w:t>
            </w:r>
            <w:r>
              <w:rPr>
                <w:rFonts w:hint="eastAsia" w:ascii="仿宋" w:hAnsi="仿宋" w:eastAsia="仿宋" w:cs="仿宋"/>
                <w:bCs/>
                <w:color w:val="auto"/>
                <w:sz w:val="21"/>
                <w:szCs w:val="21"/>
              </w:rPr>
              <w:t>2020年度民主生活会</w:t>
            </w:r>
            <w:r>
              <w:rPr>
                <w:rFonts w:hint="eastAsia" w:ascii="仿宋" w:hAnsi="仿宋" w:eastAsia="仿宋" w:cs="仿宋"/>
                <w:color w:val="auto"/>
                <w:sz w:val="21"/>
                <w:szCs w:val="21"/>
              </w:rPr>
              <w:t>只有党组书记对下属单位负责人的谈心谈话卡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民主测评和征求意见标题均为“征求意见表”</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lang w:val="en-US" w:eastAsia="zh-CN"/>
              </w:rPr>
              <w:t>2021年度党史学习教育专题民主生活会</w:t>
            </w:r>
            <w:r>
              <w:rPr>
                <w:rFonts w:hint="eastAsia" w:ascii="仿宋" w:hAnsi="仿宋" w:eastAsia="仿宋" w:cs="仿宋"/>
                <w:b w:val="0"/>
                <w:bCs w:val="0"/>
                <w:color w:val="auto"/>
                <w:sz w:val="21"/>
                <w:szCs w:val="21"/>
                <w:lang w:eastAsia="zh-CN"/>
              </w:rPr>
              <w:t>只有</w:t>
            </w:r>
            <w:r>
              <w:rPr>
                <w:rFonts w:hint="eastAsia" w:ascii="仿宋" w:hAnsi="仿宋" w:eastAsia="仿宋" w:cs="仿宋"/>
                <w:b w:val="0"/>
                <w:bCs w:val="0"/>
                <w:color w:val="auto"/>
                <w:sz w:val="21"/>
                <w:szCs w:val="21"/>
                <w:lang w:val="en-US" w:eastAsia="zh-CN"/>
              </w:rPr>
              <w:t>1名</w:t>
            </w:r>
            <w:r>
              <w:rPr>
                <w:rFonts w:hint="eastAsia" w:ascii="仿宋" w:hAnsi="仿宋" w:eastAsia="仿宋" w:cs="仿宋"/>
                <w:b w:val="0"/>
                <w:bCs w:val="0"/>
                <w:color w:val="auto"/>
                <w:sz w:val="21"/>
                <w:szCs w:val="21"/>
                <w:lang w:eastAsia="zh-CN"/>
              </w:rPr>
              <w:t>副局长</w:t>
            </w:r>
            <w:r>
              <w:rPr>
                <w:rFonts w:hint="eastAsia" w:ascii="仿宋" w:hAnsi="仿宋" w:eastAsia="仿宋" w:cs="仿宋"/>
                <w:b w:val="0"/>
                <w:bCs w:val="0"/>
                <w:color w:val="auto"/>
                <w:sz w:val="21"/>
                <w:szCs w:val="21"/>
                <w:lang w:val="en-US" w:eastAsia="zh-CN"/>
              </w:rPr>
              <w:t>与</w:t>
            </w:r>
            <w:r>
              <w:rPr>
                <w:rFonts w:hint="eastAsia" w:ascii="仿宋" w:hAnsi="仿宋" w:eastAsia="仿宋" w:cs="仿宋"/>
                <w:b w:val="0"/>
                <w:bCs w:val="0"/>
                <w:color w:val="auto"/>
                <w:sz w:val="21"/>
                <w:szCs w:val="21"/>
                <w:lang w:eastAsia="zh-CN"/>
              </w:rPr>
              <w:t>下属的谈心谈话卡，</w:t>
            </w:r>
            <w:r>
              <w:rPr>
                <w:rFonts w:hint="eastAsia" w:ascii="仿宋" w:hAnsi="仿宋" w:eastAsia="仿宋" w:cs="仿宋"/>
                <w:b w:val="0"/>
                <w:bCs w:val="0"/>
                <w:color w:val="auto"/>
                <w:sz w:val="21"/>
                <w:szCs w:val="21"/>
              </w:rPr>
              <w:t>局</w:t>
            </w:r>
            <w:r>
              <w:rPr>
                <w:rFonts w:hint="eastAsia" w:ascii="仿宋" w:hAnsi="仿宋" w:eastAsia="仿宋" w:cs="仿宋"/>
                <w:b w:val="0"/>
                <w:bCs w:val="0"/>
                <w:color w:val="auto"/>
                <w:sz w:val="21"/>
                <w:szCs w:val="21"/>
                <w:lang w:val="en-US" w:eastAsia="zh-CN"/>
              </w:rPr>
              <w:t>党组在制定整改措施、整改台账的基础上，专门</w:t>
            </w:r>
            <w:r>
              <w:rPr>
                <w:rFonts w:hint="eastAsia" w:ascii="仿宋" w:hAnsi="仿宋" w:eastAsia="仿宋" w:cs="仿宋"/>
                <w:b w:val="0"/>
                <w:bCs w:val="0"/>
                <w:color w:val="auto"/>
                <w:sz w:val="21"/>
                <w:szCs w:val="21"/>
              </w:rPr>
              <w:t>制定的专题民主生活会整改方案，</w:t>
            </w:r>
            <w:r>
              <w:rPr>
                <w:rFonts w:hint="eastAsia" w:ascii="仿宋" w:hAnsi="仿宋" w:eastAsia="仿宋" w:cs="仿宋"/>
                <w:b w:val="0"/>
                <w:bCs w:val="0"/>
                <w:color w:val="auto"/>
                <w:sz w:val="21"/>
                <w:szCs w:val="21"/>
                <w:lang w:val="en-US" w:eastAsia="zh-CN"/>
              </w:rPr>
              <w:t>并向下属单位印发，存在“头疼医脚”的问题</w:t>
            </w:r>
            <w:r>
              <w:rPr>
                <w:rFonts w:hint="eastAsia" w:ascii="仿宋" w:hAnsi="仿宋" w:eastAsia="仿宋" w:cs="仿宋"/>
                <w:b w:val="0"/>
                <w:bCs w:val="0"/>
                <w:color w:val="auto"/>
                <w:sz w:val="21"/>
                <w:szCs w:val="21"/>
              </w:rPr>
              <w:t>。</w:t>
            </w:r>
          </w:p>
        </w:tc>
        <w:tc>
          <w:tcPr>
            <w:tcW w:w="6480" w:type="dxa"/>
            <w:vAlign w:val="top"/>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一是重新梳理民主生活会系列资料，补足完善相关手续；二是重新梳理整改方案、整改措施及整改台账并进行销号，解决</w:t>
            </w:r>
            <w:r>
              <w:rPr>
                <w:rFonts w:hint="eastAsia" w:ascii="仿宋" w:hAnsi="仿宋" w:eastAsia="仿宋" w:cs="仿宋"/>
                <w:b w:val="0"/>
                <w:bCs w:val="0"/>
                <w:color w:val="auto"/>
                <w:sz w:val="21"/>
                <w:szCs w:val="21"/>
                <w:lang w:val="en-US" w:eastAsia="zh-CN"/>
              </w:rPr>
              <w:t>“头疼医脚”问题.</w:t>
            </w:r>
          </w:p>
        </w:tc>
        <w:tc>
          <w:tcPr>
            <w:tcW w:w="2669" w:type="dxa"/>
            <w:vAlign w:val="top"/>
          </w:tcPr>
          <w:p>
            <w:pPr>
              <w:spacing w:before="91" w:line="389" w:lineRule="exact"/>
              <w:ind w:left="197"/>
              <w:rPr>
                <w:rFonts w:hint="eastAsia" w:ascii="仿宋" w:hAnsi="仿宋" w:eastAsia="仿宋" w:cs="仿宋"/>
                <w:color w:val="auto"/>
                <w:sz w:val="21"/>
                <w:szCs w:val="21"/>
                <w:lang w:val="en-US"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姜体鹏</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各股所、各支部</w:t>
            </w:r>
          </w:p>
          <w:p>
            <w:pPr>
              <w:spacing w:before="48" w:line="220" w:lineRule="auto"/>
              <w:ind w:left="197"/>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整改责任人：各股所、各支部主要负责人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w:t>
            </w:r>
          </w:p>
        </w:tc>
        <w:tc>
          <w:tcPr>
            <w:tcW w:w="1633" w:type="dxa"/>
            <w:vMerge w:val="continue"/>
            <w:vAlign w:val="center"/>
          </w:tcPr>
          <w:p>
            <w:pPr>
              <w:spacing w:before="94" w:line="221" w:lineRule="auto"/>
              <w:ind w:left="130"/>
              <w:jc w:val="center"/>
              <w:rPr>
                <w:rFonts w:hint="eastAsia" w:ascii="仿宋" w:hAnsi="仿宋" w:eastAsia="仿宋" w:cs="仿宋"/>
                <w:b/>
                <w:bCs w:val="0"/>
                <w:color w:val="auto"/>
                <w:sz w:val="21"/>
                <w:szCs w:val="21"/>
              </w:rPr>
            </w:pPr>
          </w:p>
        </w:tc>
        <w:tc>
          <w:tcPr>
            <w:tcW w:w="1125" w:type="dxa"/>
            <w:vMerge w:val="continue"/>
            <w:tcBorders>
              <w:bottom w:val="nil"/>
            </w:tcBorders>
            <w:vAlign w:val="center"/>
          </w:tcPr>
          <w:p>
            <w:pPr>
              <w:pStyle w:val="5"/>
              <w:jc w:val="center"/>
              <w:rPr>
                <w:rFonts w:hint="eastAsia" w:ascii="仿宋" w:hAnsi="仿宋" w:eastAsia="仿宋" w:cs="仿宋"/>
                <w:b/>
                <w:bCs w:val="0"/>
                <w:color w:val="auto"/>
                <w:sz w:val="21"/>
                <w:szCs w:val="21"/>
                <w:lang w:val="en-US" w:eastAsia="zh-CN"/>
              </w:rPr>
            </w:pPr>
          </w:p>
        </w:tc>
        <w:tc>
          <w:tcPr>
            <w:tcW w:w="7066"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二是</w:t>
            </w:r>
            <w:r>
              <w:rPr>
                <w:rFonts w:hint="eastAsia" w:ascii="仿宋" w:hAnsi="仿宋" w:eastAsia="仿宋" w:cs="仿宋"/>
                <w:b w:val="0"/>
                <w:bCs w:val="0"/>
                <w:color w:val="auto"/>
                <w:sz w:val="21"/>
                <w:szCs w:val="21"/>
                <w:lang w:val="en-US" w:eastAsia="zh-CN"/>
              </w:rPr>
              <w:t>开展</w:t>
            </w:r>
            <w:r>
              <w:rPr>
                <w:rFonts w:hint="eastAsia" w:ascii="仿宋" w:hAnsi="仿宋" w:eastAsia="仿宋" w:cs="仿宋"/>
                <w:b w:val="0"/>
                <w:bCs w:val="0"/>
                <w:color w:val="auto"/>
                <w:sz w:val="21"/>
                <w:szCs w:val="21"/>
                <w:lang w:eastAsia="zh-CN"/>
              </w:rPr>
              <w:t>组织生活会</w:t>
            </w:r>
            <w:r>
              <w:rPr>
                <w:rFonts w:hint="eastAsia" w:ascii="仿宋" w:hAnsi="仿宋" w:eastAsia="仿宋" w:cs="仿宋"/>
                <w:b w:val="0"/>
                <w:bCs w:val="0"/>
                <w:color w:val="auto"/>
                <w:sz w:val="21"/>
                <w:szCs w:val="21"/>
                <w:lang w:val="en-US" w:eastAsia="zh-CN"/>
              </w:rPr>
              <w:t>不扎实</w:t>
            </w:r>
            <w:r>
              <w:rPr>
                <w:rFonts w:hint="eastAsia" w:ascii="仿宋" w:hAnsi="仿宋" w:eastAsia="仿宋" w:cs="仿宋"/>
                <w:b w:val="0"/>
                <w:bCs w:val="0"/>
                <w:color w:val="auto"/>
                <w:sz w:val="21"/>
                <w:szCs w:val="21"/>
                <w:lang w:eastAsia="zh-CN"/>
              </w:rPr>
              <w:t>。</w:t>
            </w:r>
            <w:r>
              <w:rPr>
                <w:rFonts w:hint="eastAsia" w:ascii="仿宋" w:hAnsi="仿宋" w:eastAsia="仿宋" w:cs="仿宋"/>
                <w:color w:val="auto"/>
                <w:sz w:val="21"/>
                <w:szCs w:val="21"/>
                <w:lang w:eastAsia="zh-CN"/>
              </w:rPr>
              <w:t>2021年机关党支部组织生活会支委班子和委员的发言材料剖析问题不深刻，存在问题普遍为“学习</w:t>
            </w:r>
            <w:r>
              <w:rPr>
                <w:rFonts w:hint="eastAsia" w:ascii="仿宋" w:hAnsi="仿宋" w:eastAsia="仿宋" w:cs="仿宋"/>
                <w:color w:val="auto"/>
                <w:sz w:val="21"/>
                <w:szCs w:val="21"/>
                <w:lang w:val="en-US" w:eastAsia="zh-CN"/>
              </w:rPr>
              <w:t>不</w:t>
            </w:r>
            <w:r>
              <w:rPr>
                <w:rFonts w:hint="eastAsia" w:ascii="仿宋" w:hAnsi="仿宋" w:eastAsia="仿宋" w:cs="仿宋"/>
                <w:color w:val="auto"/>
                <w:sz w:val="21"/>
                <w:szCs w:val="21"/>
                <w:lang w:eastAsia="zh-CN"/>
              </w:rPr>
              <w:t>深入”等，</w:t>
            </w:r>
            <w:r>
              <w:rPr>
                <w:rFonts w:hint="eastAsia" w:ascii="仿宋" w:hAnsi="仿宋" w:eastAsia="仿宋" w:cs="仿宋"/>
                <w:color w:val="auto"/>
                <w:sz w:val="21"/>
                <w:szCs w:val="21"/>
                <w:lang w:val="en-US" w:eastAsia="zh-CN"/>
              </w:rPr>
              <w:t>且</w:t>
            </w:r>
            <w:r>
              <w:rPr>
                <w:rFonts w:hint="eastAsia" w:ascii="仿宋" w:hAnsi="仿宋" w:eastAsia="仿宋" w:cs="仿宋"/>
                <w:color w:val="auto"/>
                <w:sz w:val="21"/>
                <w:szCs w:val="21"/>
                <w:lang w:eastAsia="zh-CN"/>
              </w:rPr>
              <w:t>没有整改时限和整改的相关佐证资料。</w:t>
            </w:r>
          </w:p>
        </w:tc>
        <w:tc>
          <w:tcPr>
            <w:tcW w:w="6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一是结合主题教育组织生活会和专题民主生活会及时进行“补课”，剖析要深刻；二是严格执行每月第一个周二“三会一课”活动日制度，以党支部为单位召开会议或多种形式的活动，切实规范党员组织生活；三</w:t>
            </w:r>
            <w:r>
              <w:rPr>
                <w:rFonts w:hint="eastAsia" w:ascii="仿宋" w:hAnsi="仿宋" w:eastAsia="仿宋" w:cs="仿宋"/>
                <w:color w:val="auto"/>
                <w:sz w:val="21"/>
                <w:szCs w:val="21"/>
                <w:lang w:val="en-US" w:eastAsia="zh-CN"/>
              </w:rPr>
              <w:t>是建立问题台账，明确整改时限，整改要有相关佐证资料，</w:t>
            </w:r>
            <w:r>
              <w:rPr>
                <w:rFonts w:hint="eastAsia" w:ascii="仿宋" w:hAnsi="仿宋" w:eastAsia="仿宋" w:cs="仿宋"/>
                <w:color w:val="auto"/>
                <w:sz w:val="21"/>
                <w:szCs w:val="21"/>
                <w:lang w:eastAsia="zh-CN"/>
              </w:rPr>
              <w:t>提高组织生活</w:t>
            </w:r>
            <w:r>
              <w:rPr>
                <w:rFonts w:hint="eastAsia" w:ascii="仿宋" w:hAnsi="仿宋" w:eastAsia="仿宋" w:cs="仿宋"/>
                <w:color w:val="auto"/>
                <w:sz w:val="21"/>
                <w:szCs w:val="21"/>
                <w:lang w:val="en-US" w:eastAsia="zh-CN"/>
              </w:rPr>
              <w:t>会</w:t>
            </w:r>
            <w:r>
              <w:rPr>
                <w:rFonts w:hint="eastAsia" w:ascii="仿宋" w:hAnsi="仿宋" w:eastAsia="仿宋" w:cs="仿宋"/>
                <w:color w:val="auto"/>
                <w:sz w:val="21"/>
                <w:szCs w:val="21"/>
                <w:lang w:eastAsia="zh-CN"/>
              </w:rPr>
              <w:t>质量。</w:t>
            </w:r>
          </w:p>
          <w:p>
            <w:pPr>
              <w:pStyle w:val="5"/>
              <w:rPr>
                <w:rFonts w:hint="eastAsia" w:ascii="仿宋" w:hAnsi="仿宋" w:eastAsia="仿宋" w:cs="仿宋"/>
                <w:color w:val="auto"/>
                <w:sz w:val="21"/>
                <w:szCs w:val="21"/>
                <w:lang w:eastAsia="zh-CN"/>
              </w:rPr>
            </w:pP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吕学利</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机关党支部</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整改责任人：马云亭</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w:t>
            </w:r>
          </w:p>
        </w:tc>
        <w:tc>
          <w:tcPr>
            <w:tcW w:w="1633" w:type="dxa"/>
            <w:vMerge w:val="continue"/>
            <w:vAlign w:val="center"/>
          </w:tcPr>
          <w:p>
            <w:pPr>
              <w:spacing w:before="94" w:line="221" w:lineRule="auto"/>
              <w:ind w:left="130"/>
              <w:jc w:val="center"/>
              <w:rPr>
                <w:rFonts w:hint="eastAsia" w:ascii="仿宋" w:hAnsi="仿宋" w:eastAsia="仿宋" w:cs="仿宋"/>
                <w:b/>
                <w:bCs w:val="0"/>
                <w:color w:val="auto"/>
                <w:sz w:val="21"/>
                <w:szCs w:val="21"/>
              </w:rPr>
            </w:pPr>
          </w:p>
        </w:tc>
        <w:tc>
          <w:tcPr>
            <w:tcW w:w="1125" w:type="dxa"/>
            <w:tcBorders>
              <w:bottom w:val="nil"/>
            </w:tcBorders>
            <w:vAlign w:val="center"/>
          </w:tcPr>
          <w:p>
            <w:pPr>
              <w:pStyle w:val="5"/>
              <w:jc w:val="center"/>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rPr>
              <w:t>2.</w:t>
            </w:r>
            <w:r>
              <w:rPr>
                <w:rFonts w:hint="eastAsia" w:ascii="仿宋" w:hAnsi="仿宋" w:eastAsia="仿宋" w:cs="仿宋"/>
                <w:b/>
                <w:bCs w:val="0"/>
                <w:color w:val="auto"/>
                <w:sz w:val="21"/>
                <w:szCs w:val="21"/>
                <w:lang w:val="en-US" w:eastAsia="zh-CN"/>
              </w:rPr>
              <w:t>党员教育不够深入。</w:t>
            </w:r>
          </w:p>
        </w:tc>
        <w:tc>
          <w:tcPr>
            <w:tcW w:w="7066"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b/>
                <w:bCs/>
                <w:color w:val="auto"/>
                <w:sz w:val="21"/>
                <w:szCs w:val="21"/>
              </w:rPr>
            </w:pPr>
            <w:r>
              <w:rPr>
                <w:rFonts w:hint="eastAsia" w:ascii="仿宋" w:hAnsi="仿宋" w:eastAsia="仿宋" w:cs="仿宋"/>
                <w:b w:val="0"/>
                <w:bCs w:val="0"/>
                <w:color w:val="auto"/>
                <w:sz w:val="21"/>
                <w:szCs w:val="21"/>
                <w:lang w:val="en-US" w:eastAsia="zh-CN"/>
              </w:rPr>
              <w:t>教育</w:t>
            </w:r>
            <w:r>
              <w:rPr>
                <w:rFonts w:hint="eastAsia" w:ascii="仿宋" w:hAnsi="仿宋" w:eastAsia="仿宋" w:cs="仿宋"/>
                <w:color w:val="auto"/>
                <w:sz w:val="21"/>
                <w:szCs w:val="21"/>
              </w:rPr>
              <w:t>形式不够灵活，</w:t>
            </w:r>
            <w:r>
              <w:rPr>
                <w:rFonts w:hint="eastAsia" w:ascii="仿宋" w:hAnsi="仿宋" w:eastAsia="仿宋" w:cs="仿宋"/>
                <w:color w:val="auto"/>
                <w:sz w:val="21"/>
                <w:szCs w:val="21"/>
                <w:lang w:val="en-US" w:eastAsia="zh-CN"/>
              </w:rPr>
              <w:t>内容</w:t>
            </w:r>
            <w:r>
              <w:rPr>
                <w:rFonts w:hint="eastAsia" w:ascii="仿宋" w:hAnsi="仿宋" w:eastAsia="仿宋" w:cs="仿宋"/>
                <w:color w:val="auto"/>
                <w:sz w:val="21"/>
                <w:szCs w:val="21"/>
              </w:rPr>
              <w:t>与党员干部自身工作实际相结合</w:t>
            </w:r>
            <w:r>
              <w:rPr>
                <w:rFonts w:hint="eastAsia" w:ascii="仿宋" w:hAnsi="仿宋" w:eastAsia="仿宋" w:cs="仿宋"/>
                <w:color w:val="auto"/>
                <w:sz w:val="21"/>
                <w:szCs w:val="21"/>
                <w:lang w:val="en-US" w:eastAsia="zh-CN"/>
              </w:rPr>
              <w:t>不够紧密</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多以</w:t>
            </w:r>
            <w:r>
              <w:rPr>
                <w:rFonts w:hint="eastAsia" w:ascii="仿宋" w:hAnsi="仿宋" w:eastAsia="仿宋" w:cs="仿宋"/>
                <w:color w:val="auto"/>
                <w:sz w:val="21"/>
                <w:szCs w:val="21"/>
              </w:rPr>
              <w:t>学文件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听报告方式进行</w:t>
            </w:r>
            <w:r>
              <w:rPr>
                <w:rFonts w:hint="eastAsia" w:ascii="仿宋" w:hAnsi="仿宋" w:eastAsia="仿宋" w:cs="仿宋"/>
                <w:color w:val="auto"/>
                <w:sz w:val="21"/>
                <w:szCs w:val="21"/>
              </w:rPr>
              <w:t>。2020年以来未</w:t>
            </w:r>
            <w:r>
              <w:rPr>
                <w:rFonts w:hint="eastAsia" w:ascii="仿宋" w:hAnsi="仿宋" w:eastAsia="仿宋" w:cs="仿宋"/>
                <w:color w:val="auto"/>
                <w:sz w:val="21"/>
                <w:szCs w:val="21"/>
                <w:lang w:val="en-US" w:eastAsia="zh-CN"/>
              </w:rPr>
              <w:t>将</w:t>
            </w:r>
            <w:r>
              <w:rPr>
                <w:rFonts w:hint="eastAsia" w:ascii="仿宋" w:hAnsi="仿宋" w:eastAsia="仿宋" w:cs="仿宋"/>
                <w:color w:val="auto"/>
                <w:sz w:val="21"/>
                <w:szCs w:val="21"/>
              </w:rPr>
              <w:t>讲党课</w:t>
            </w:r>
            <w:r>
              <w:rPr>
                <w:rFonts w:hint="eastAsia" w:ascii="仿宋" w:hAnsi="仿宋" w:eastAsia="仿宋" w:cs="仿宋"/>
                <w:color w:val="auto"/>
                <w:sz w:val="21"/>
                <w:szCs w:val="21"/>
                <w:lang w:val="en-US" w:eastAsia="zh-CN"/>
              </w:rPr>
              <w:t>列入</w:t>
            </w:r>
            <w:r>
              <w:rPr>
                <w:rFonts w:hint="eastAsia" w:ascii="仿宋" w:hAnsi="仿宋" w:eastAsia="仿宋" w:cs="仿宋"/>
                <w:color w:val="auto"/>
                <w:sz w:val="21"/>
                <w:szCs w:val="21"/>
              </w:rPr>
              <w:t>学习计划</w:t>
            </w:r>
            <w:r>
              <w:rPr>
                <w:rFonts w:hint="eastAsia" w:ascii="仿宋" w:hAnsi="仿宋" w:eastAsia="仿宋" w:cs="仿宋"/>
                <w:color w:val="auto"/>
                <w:sz w:val="21"/>
                <w:szCs w:val="21"/>
                <w:lang w:val="en-US" w:eastAsia="zh-CN"/>
              </w:rPr>
              <w:t>中</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2022年机关支部</w:t>
            </w:r>
            <w:r>
              <w:rPr>
                <w:rFonts w:hint="eastAsia" w:ascii="仿宋" w:hAnsi="仿宋" w:eastAsia="仿宋" w:cs="仿宋"/>
                <w:color w:val="auto"/>
                <w:sz w:val="21"/>
                <w:szCs w:val="21"/>
                <w:lang w:val="en-US" w:eastAsia="zh-CN"/>
              </w:rPr>
              <w:t>计划</w:t>
            </w:r>
            <w:r>
              <w:rPr>
                <w:rFonts w:hint="eastAsia" w:ascii="仿宋" w:hAnsi="仿宋" w:eastAsia="仿宋" w:cs="仿宋"/>
                <w:color w:val="auto"/>
                <w:sz w:val="21"/>
                <w:szCs w:val="21"/>
              </w:rPr>
              <w:t>开展主题党日活动12次，</w:t>
            </w:r>
            <w:r>
              <w:rPr>
                <w:rFonts w:hint="eastAsia" w:ascii="仿宋" w:hAnsi="仿宋" w:eastAsia="仿宋" w:cs="仿宋"/>
                <w:color w:val="auto"/>
                <w:sz w:val="21"/>
                <w:szCs w:val="21"/>
                <w:lang w:val="en-US" w:eastAsia="zh-CN"/>
              </w:rPr>
              <w:t>实际</w:t>
            </w:r>
            <w:r>
              <w:rPr>
                <w:rFonts w:hint="eastAsia" w:ascii="仿宋" w:hAnsi="仿宋" w:eastAsia="仿宋" w:cs="仿宋"/>
                <w:color w:val="auto"/>
                <w:sz w:val="21"/>
                <w:szCs w:val="21"/>
              </w:rPr>
              <w:t>仅</w:t>
            </w:r>
            <w:r>
              <w:rPr>
                <w:rFonts w:hint="eastAsia" w:ascii="仿宋" w:hAnsi="仿宋" w:eastAsia="仿宋" w:cs="仿宋"/>
                <w:color w:val="auto"/>
                <w:sz w:val="21"/>
                <w:szCs w:val="21"/>
                <w:lang w:val="en-US" w:eastAsia="zh-CN"/>
              </w:rPr>
              <w:t>开展</w:t>
            </w:r>
            <w:r>
              <w:rPr>
                <w:rFonts w:hint="eastAsia" w:ascii="仿宋" w:hAnsi="仿宋" w:eastAsia="仿宋" w:cs="仿宋"/>
                <w:color w:val="auto"/>
                <w:sz w:val="21"/>
                <w:szCs w:val="21"/>
              </w:rPr>
              <w:t>5次且没有活动的相关资料。</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一是结合实际，开展党员教育形式多样化；二是要将讲党课列入学习计划，补足</w:t>
            </w:r>
            <w:r>
              <w:rPr>
                <w:rFonts w:hint="eastAsia" w:ascii="仿宋" w:hAnsi="仿宋" w:eastAsia="仿宋" w:cs="仿宋"/>
                <w:color w:val="auto"/>
                <w:sz w:val="21"/>
                <w:szCs w:val="21"/>
              </w:rPr>
              <w:t>开展主题党日活动</w:t>
            </w:r>
            <w:r>
              <w:rPr>
                <w:rFonts w:hint="eastAsia" w:ascii="仿宋" w:hAnsi="仿宋" w:eastAsia="仿宋" w:cs="仿宋"/>
                <w:color w:val="auto"/>
                <w:sz w:val="21"/>
                <w:szCs w:val="21"/>
                <w:lang w:eastAsia="zh-CN"/>
              </w:rPr>
              <w:t>次数，建立长效机制。</w:t>
            </w:r>
          </w:p>
        </w:tc>
        <w:tc>
          <w:tcPr>
            <w:tcW w:w="2669" w:type="dxa"/>
            <w:vAlign w:val="top"/>
          </w:tcPr>
          <w:p>
            <w:pPr>
              <w:spacing w:before="91" w:line="389" w:lineRule="exact"/>
              <w:ind w:left="197"/>
              <w:rPr>
                <w:rFonts w:hint="eastAsia" w:ascii="仿宋" w:hAnsi="仿宋" w:eastAsia="仿宋" w:cs="仿宋"/>
                <w:color w:val="auto"/>
                <w:sz w:val="21"/>
                <w:szCs w:val="21"/>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吕学利</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机关党支部</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整改责任人：马云亭</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2024年3月底前取得明显成效并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w:t>
            </w:r>
          </w:p>
        </w:tc>
        <w:tc>
          <w:tcPr>
            <w:tcW w:w="1633" w:type="dxa"/>
            <w:vMerge w:val="continue"/>
            <w:tcBorders>
              <w:bottom w:val="nil"/>
            </w:tcBorders>
            <w:vAlign w:val="center"/>
          </w:tcPr>
          <w:p>
            <w:pPr>
              <w:spacing w:before="94" w:line="221" w:lineRule="auto"/>
              <w:ind w:left="130"/>
              <w:jc w:val="center"/>
              <w:rPr>
                <w:rFonts w:hint="eastAsia" w:ascii="仿宋" w:hAnsi="仿宋" w:eastAsia="仿宋" w:cs="仿宋"/>
                <w:b/>
                <w:bCs w:val="0"/>
                <w:color w:val="auto"/>
                <w:sz w:val="21"/>
                <w:szCs w:val="21"/>
              </w:rPr>
            </w:pPr>
          </w:p>
        </w:tc>
        <w:tc>
          <w:tcPr>
            <w:tcW w:w="1125" w:type="dxa"/>
            <w:tcBorders>
              <w:bottom w:val="nil"/>
            </w:tcBorders>
            <w:vAlign w:val="center"/>
          </w:tcPr>
          <w:p>
            <w:pPr>
              <w:pStyle w:val="5"/>
              <w:jc w:val="center"/>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rPr>
              <w:t>3.</w:t>
            </w:r>
            <w:r>
              <w:rPr>
                <w:rFonts w:hint="eastAsia" w:ascii="仿宋" w:hAnsi="仿宋" w:eastAsia="仿宋" w:cs="仿宋"/>
                <w:b/>
                <w:bCs w:val="0"/>
                <w:color w:val="auto"/>
                <w:sz w:val="21"/>
                <w:szCs w:val="21"/>
                <w:lang w:val="en-US" w:eastAsia="zh-CN"/>
              </w:rPr>
              <w:t>干部队伍管理不规范</w:t>
            </w:r>
            <w:r>
              <w:rPr>
                <w:rFonts w:hint="eastAsia" w:ascii="仿宋" w:hAnsi="仿宋" w:eastAsia="仿宋" w:cs="仿宋"/>
                <w:b/>
                <w:bCs w:val="0"/>
                <w:color w:val="auto"/>
                <w:sz w:val="21"/>
                <w:szCs w:val="21"/>
              </w:rPr>
              <w:t>。</w:t>
            </w:r>
          </w:p>
        </w:tc>
        <w:tc>
          <w:tcPr>
            <w:tcW w:w="7066"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val="en-US" w:eastAsia="zh-CN"/>
              </w:rPr>
              <w:t>借调人员人数众多，机关</w:t>
            </w:r>
            <w:r>
              <w:rPr>
                <w:rFonts w:hint="eastAsia" w:ascii="仿宋" w:hAnsi="仿宋" w:eastAsia="仿宋" w:cs="仿宋"/>
                <w:color w:val="auto"/>
                <w:sz w:val="21"/>
                <w:szCs w:val="21"/>
              </w:rPr>
              <w:t>各股室、局属各单位、担保公司共借调52人，兼任7人，合计59人。目前有借调文件的26人，其中局机关20人，局属事业的单位5人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担保公司1人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局机关各股室、局下属各单位负责人兼职现象严重，兼职最多的1名领导干部身兼5个职务，既不利于集中精力投入工作，同时也制约了其他干部职工的晋升空间，不利于激发干部队伍活力。</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一是根据工作实际，上会研究解决或理顺借调人员手续；二是做好选人用人工作，解决领导兼职过多问题。</w:t>
            </w:r>
          </w:p>
        </w:tc>
        <w:tc>
          <w:tcPr>
            <w:tcW w:w="2669" w:type="dxa"/>
            <w:vAlign w:val="top"/>
          </w:tcPr>
          <w:p>
            <w:pPr>
              <w:spacing w:before="91" w:line="389" w:lineRule="exact"/>
              <w:ind w:left="197"/>
              <w:rPr>
                <w:rFonts w:hint="eastAsia" w:ascii="仿宋" w:hAnsi="仿宋" w:eastAsia="仿宋" w:cs="仿宋"/>
                <w:color w:val="auto"/>
                <w:sz w:val="21"/>
                <w:szCs w:val="21"/>
                <w:lang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吕学利</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各股所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w:t>
            </w:r>
            <w:r>
              <w:rPr>
                <w:rFonts w:hint="eastAsia" w:ascii="仿宋" w:hAnsi="仿宋" w:eastAsia="仿宋" w:cs="仿宋"/>
                <w:color w:val="auto"/>
                <w:sz w:val="21"/>
                <w:szCs w:val="21"/>
                <w:lang w:eastAsia="zh-CN"/>
              </w:rPr>
              <w:t>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w:t>
            </w:r>
          </w:p>
        </w:tc>
        <w:tc>
          <w:tcPr>
            <w:tcW w:w="1633" w:type="dxa"/>
            <w:vMerge w:val="restart"/>
            <w:vAlign w:val="center"/>
          </w:tcPr>
          <w:p>
            <w:pPr>
              <w:keepNext w:val="0"/>
              <w:keepLines w:val="0"/>
              <w:pageBreakBefore w:val="0"/>
              <w:widowControl w:val="0"/>
              <w:kinsoku/>
              <w:wordWrap/>
              <w:overflowPunct/>
              <w:topLinePunct w:val="0"/>
              <w:autoSpaceDE/>
              <w:autoSpaceDN/>
              <w:bidi w:val="0"/>
              <w:adjustRightInd/>
              <w:snapToGrid/>
              <w:spacing w:line="498" w:lineRule="exact"/>
              <w:ind w:firstLine="442" w:firstLineChars="200"/>
              <w:jc w:val="center"/>
              <w:textAlignment w:val="auto"/>
              <w:rPr>
                <w:rFonts w:hint="eastAsia" w:ascii="仿宋" w:hAnsi="仿宋" w:eastAsia="仿宋" w:cs="仿宋"/>
                <w:b/>
                <w:bCs w:val="0"/>
                <w:color w:val="auto"/>
                <w:sz w:val="22"/>
                <w:szCs w:val="22"/>
              </w:rPr>
            </w:pPr>
            <w:r>
              <w:rPr>
                <w:rFonts w:hint="eastAsia" w:ascii="仿宋" w:hAnsi="仿宋" w:eastAsia="仿宋" w:cs="仿宋"/>
                <w:b/>
                <w:bCs w:val="0"/>
                <w:color w:val="auto"/>
                <w:sz w:val="22"/>
                <w:szCs w:val="22"/>
                <w:lang w:val="en-US" w:eastAsia="zh-CN"/>
              </w:rPr>
              <w:t>（四）聚焦巡视巡察整改落实情况，增强群众获得感幸福感安全感方面</w:t>
            </w:r>
          </w:p>
          <w:p>
            <w:pPr>
              <w:spacing w:before="94" w:line="221" w:lineRule="auto"/>
              <w:ind w:left="130"/>
              <w:jc w:val="center"/>
              <w:rPr>
                <w:rFonts w:hint="eastAsia" w:ascii="仿宋" w:hAnsi="仿宋" w:eastAsia="仿宋" w:cs="仿宋"/>
                <w:color w:val="auto"/>
                <w:sz w:val="21"/>
                <w:szCs w:val="21"/>
              </w:rPr>
            </w:pPr>
          </w:p>
        </w:tc>
        <w:tc>
          <w:tcPr>
            <w:tcW w:w="1125" w:type="dxa"/>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1.落实审计整改不够坚决。</w:t>
            </w:r>
          </w:p>
        </w:tc>
        <w:tc>
          <w:tcPr>
            <w:tcW w:w="7066" w:type="dxa"/>
            <w:vAlign w:val="center"/>
          </w:tcPr>
          <w:p>
            <w:pPr>
              <w:pStyle w:val="5"/>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rPr>
              <w:t>对</w:t>
            </w:r>
            <w:r>
              <w:rPr>
                <w:rFonts w:hint="eastAsia" w:ascii="仿宋" w:hAnsi="仿宋" w:eastAsia="仿宋" w:cs="仿宋"/>
                <w:color w:val="auto"/>
                <w:sz w:val="21"/>
                <w:szCs w:val="21"/>
                <w:lang w:val="en-US" w:eastAsia="zh-CN"/>
              </w:rPr>
              <w:t>审计整改</w:t>
            </w:r>
            <w:r>
              <w:rPr>
                <w:rFonts w:hint="eastAsia" w:ascii="仿宋" w:hAnsi="仿宋" w:eastAsia="仿宋" w:cs="仿宋"/>
                <w:color w:val="auto"/>
                <w:sz w:val="21"/>
                <w:szCs w:val="21"/>
              </w:rPr>
              <w:t>问题的跟踪问效、监督指导、举一反三的力度和举措不够，</w:t>
            </w:r>
            <w:r>
              <w:rPr>
                <w:rFonts w:hint="eastAsia" w:ascii="仿宋" w:hAnsi="仿宋" w:eastAsia="仿宋" w:cs="仿宋"/>
                <w:color w:val="auto"/>
                <w:sz w:val="21"/>
                <w:szCs w:val="21"/>
                <w:lang w:val="en-US" w:eastAsia="zh-CN"/>
              </w:rPr>
              <w:t>预算绩效管理、资金和</w:t>
            </w:r>
            <w:r>
              <w:rPr>
                <w:rFonts w:hint="eastAsia" w:ascii="仿宋" w:hAnsi="仿宋" w:eastAsia="仿宋" w:cs="仿宋"/>
                <w:color w:val="auto"/>
                <w:sz w:val="21"/>
                <w:szCs w:val="21"/>
              </w:rPr>
              <w:t>资产运营管理方面问题“久拖未决”</w:t>
            </w:r>
            <w:r>
              <w:rPr>
                <w:rFonts w:hint="eastAsia" w:ascii="仿宋" w:hAnsi="仿宋" w:eastAsia="仿宋" w:cs="仿宋"/>
                <w:color w:val="auto"/>
                <w:sz w:val="21"/>
                <w:szCs w:val="21"/>
                <w:lang w:eastAsia="zh-CN"/>
              </w:rPr>
              <w:t>。</w:t>
            </w: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一是进一步梳理审计整改问题，定期跟踪问效、深入部门单位监督指导；二是修订完善预算绩效管理、各类资金和资产运营管理制度办法，全力推进制度办法落地见效。</w:t>
            </w:r>
          </w:p>
        </w:tc>
        <w:tc>
          <w:tcPr>
            <w:tcW w:w="2669" w:type="dxa"/>
            <w:vAlign w:val="top"/>
          </w:tcPr>
          <w:p>
            <w:pPr>
              <w:spacing w:before="91" w:line="389" w:lineRule="exact"/>
              <w:ind w:left="197"/>
              <w:rPr>
                <w:rFonts w:hint="default" w:ascii="仿宋" w:hAnsi="仿宋" w:eastAsia="仿宋" w:cs="仿宋"/>
                <w:color w:val="auto"/>
                <w:sz w:val="21"/>
                <w:szCs w:val="21"/>
                <w:lang w:val="en-US"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姜体鹏</w:t>
            </w:r>
            <w:r>
              <w:rPr>
                <w:rFonts w:hint="eastAsia" w:ascii="仿宋" w:hAnsi="仿宋" w:eastAsia="仿宋" w:cs="仿宋"/>
                <w:color w:val="auto"/>
                <w:spacing w:val="-1"/>
                <w:position w:val="6"/>
                <w:sz w:val="21"/>
                <w:szCs w:val="21"/>
                <w:lang w:val="en-US" w:eastAsia="zh-CN"/>
              </w:rPr>
              <w:t>.刘世功.戈阳、马云亭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整改责任人：全局各股所主要负责人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5" w:type="dxa"/>
            <w:vAlign w:val="center"/>
          </w:tcPr>
          <w:p>
            <w:pPr>
              <w:pStyle w:val="5"/>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633" w:type="dxa"/>
            <w:vMerge w:val="continue"/>
            <w:tcBorders>
              <w:bottom w:val="nil"/>
            </w:tcBorders>
            <w:vAlign w:val="center"/>
          </w:tcPr>
          <w:p>
            <w:pPr>
              <w:spacing w:before="94" w:line="221" w:lineRule="auto"/>
              <w:ind w:left="130"/>
              <w:jc w:val="center"/>
              <w:rPr>
                <w:rFonts w:hint="eastAsia" w:ascii="仿宋" w:hAnsi="仿宋" w:eastAsia="仿宋" w:cs="仿宋"/>
                <w:color w:val="auto"/>
                <w:sz w:val="21"/>
                <w:szCs w:val="21"/>
              </w:rPr>
            </w:pPr>
          </w:p>
        </w:tc>
        <w:tc>
          <w:tcPr>
            <w:tcW w:w="1125" w:type="dxa"/>
            <w:tcBorders>
              <w:bottom w:val="nil"/>
            </w:tcBorders>
            <w:vAlign w:val="center"/>
          </w:tcPr>
          <w:p>
            <w:pPr>
              <w:pStyle w:val="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2.巡视整改重视不够。</w:t>
            </w:r>
          </w:p>
        </w:tc>
        <w:tc>
          <w:tcPr>
            <w:tcW w:w="70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针对省委第七巡视组巡视米脂反馈意见，</w:t>
            </w:r>
            <w:r>
              <w:rPr>
                <w:rFonts w:hint="eastAsia" w:ascii="仿宋" w:hAnsi="仿宋" w:eastAsia="仿宋" w:cs="仿宋"/>
                <w:color w:val="auto"/>
                <w:sz w:val="21"/>
                <w:szCs w:val="21"/>
                <w:lang w:val="en-US" w:eastAsia="zh-CN"/>
              </w:rPr>
              <w:t>局党组</w:t>
            </w:r>
            <w:r>
              <w:rPr>
                <w:rFonts w:hint="eastAsia" w:ascii="仿宋" w:hAnsi="仿宋" w:eastAsia="仿宋" w:cs="仿宋"/>
                <w:color w:val="auto"/>
                <w:sz w:val="21"/>
                <w:szCs w:val="21"/>
              </w:rPr>
              <w:t>制定的《关于落实省委第七巡视组反馈意见整改工作方案》（米财发〔2023〕36号）和《关于落实省委第七巡视组意识形态工作责任制情况专项检查反馈意见整改工作方案》（米财发2023〕43号）文件，问题整改清单内容混淆，未分别建立问题清单，问题整改台账没有相关佐证资料。</w:t>
            </w:r>
          </w:p>
          <w:p>
            <w:pPr>
              <w:pStyle w:val="5"/>
              <w:ind w:firstLine="422" w:firstLineChars="200"/>
              <w:rPr>
                <w:rFonts w:hint="eastAsia" w:ascii="仿宋" w:hAnsi="仿宋" w:eastAsia="仿宋" w:cs="仿宋"/>
                <w:b/>
                <w:bCs/>
                <w:color w:val="auto"/>
                <w:sz w:val="21"/>
                <w:szCs w:val="21"/>
                <w:lang w:val="en-US" w:eastAsia="zh-CN"/>
              </w:rPr>
            </w:pPr>
          </w:p>
        </w:tc>
        <w:tc>
          <w:tcPr>
            <w:tcW w:w="6480"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一是重新梳理省委</w:t>
            </w:r>
            <w:r>
              <w:rPr>
                <w:rFonts w:hint="eastAsia" w:ascii="仿宋" w:hAnsi="仿宋" w:eastAsia="仿宋" w:cs="仿宋"/>
                <w:color w:val="auto"/>
                <w:sz w:val="21"/>
                <w:szCs w:val="21"/>
              </w:rPr>
              <w:t>第七巡视组</w:t>
            </w:r>
            <w:r>
              <w:rPr>
                <w:rFonts w:hint="eastAsia" w:ascii="仿宋" w:hAnsi="仿宋" w:eastAsia="仿宋" w:cs="仿宋"/>
                <w:color w:val="auto"/>
                <w:sz w:val="21"/>
                <w:szCs w:val="21"/>
                <w:lang w:eastAsia="zh-CN"/>
              </w:rPr>
              <w:t>反馈问题三清单，对个别整改措施作修正；二是盘点整改落实结果，对不足部分作进一步落实补上，整理装订佐证资料。</w:t>
            </w:r>
          </w:p>
        </w:tc>
        <w:tc>
          <w:tcPr>
            <w:tcW w:w="2669" w:type="dxa"/>
            <w:vAlign w:val="top"/>
          </w:tcPr>
          <w:p>
            <w:pPr>
              <w:spacing w:before="91" w:line="389" w:lineRule="exact"/>
              <w:ind w:left="197"/>
              <w:rPr>
                <w:rFonts w:hint="default" w:ascii="仿宋" w:hAnsi="仿宋" w:eastAsia="仿宋" w:cs="仿宋"/>
                <w:color w:val="auto"/>
                <w:sz w:val="21"/>
                <w:szCs w:val="21"/>
                <w:lang w:val="en-US" w:eastAsia="zh-CN"/>
              </w:rPr>
            </w:pPr>
            <w:r>
              <w:rPr>
                <w:rFonts w:hint="eastAsia" w:ascii="仿宋" w:hAnsi="仿宋" w:eastAsia="仿宋" w:cs="仿宋"/>
                <w:color w:val="auto"/>
                <w:spacing w:val="-1"/>
                <w:position w:val="6"/>
                <w:sz w:val="21"/>
                <w:szCs w:val="21"/>
                <w:lang w:eastAsia="zh-CN"/>
              </w:rPr>
              <w:t>牵头</w:t>
            </w:r>
            <w:r>
              <w:rPr>
                <w:rFonts w:hint="eastAsia" w:ascii="仿宋" w:hAnsi="仿宋" w:eastAsia="仿宋" w:cs="仿宋"/>
                <w:color w:val="auto"/>
                <w:spacing w:val="-1"/>
                <w:position w:val="6"/>
                <w:sz w:val="21"/>
                <w:szCs w:val="21"/>
              </w:rPr>
              <w:t>责任领导：</w:t>
            </w:r>
            <w:r>
              <w:rPr>
                <w:rFonts w:hint="eastAsia" w:ascii="仿宋" w:hAnsi="仿宋" w:eastAsia="仿宋" w:cs="仿宋"/>
                <w:color w:val="auto"/>
                <w:spacing w:val="-1"/>
                <w:position w:val="6"/>
                <w:sz w:val="21"/>
                <w:szCs w:val="21"/>
                <w:lang w:eastAsia="zh-CN"/>
              </w:rPr>
              <w:t>姜体鹏</w:t>
            </w:r>
            <w:r>
              <w:rPr>
                <w:rFonts w:hint="eastAsia" w:ascii="仿宋" w:hAnsi="仿宋" w:eastAsia="仿宋" w:cs="仿宋"/>
                <w:color w:val="auto"/>
                <w:spacing w:val="-1"/>
                <w:position w:val="6"/>
                <w:sz w:val="21"/>
                <w:szCs w:val="21"/>
                <w:lang w:val="en-US" w:eastAsia="zh-CN"/>
              </w:rPr>
              <w:t>.</w:t>
            </w:r>
            <w:r>
              <w:rPr>
                <w:rFonts w:hint="eastAsia" w:ascii="仿宋" w:hAnsi="仿宋" w:eastAsia="仿宋" w:cs="仿宋"/>
                <w:color w:val="auto"/>
                <w:spacing w:val="-1"/>
                <w:position w:val="6"/>
                <w:sz w:val="21"/>
                <w:szCs w:val="21"/>
                <w:lang w:eastAsia="zh-CN"/>
              </w:rPr>
              <w:t>刘世功</w:t>
            </w:r>
            <w:r>
              <w:rPr>
                <w:rFonts w:hint="eastAsia" w:ascii="仿宋" w:hAnsi="仿宋" w:eastAsia="仿宋" w:cs="仿宋"/>
                <w:color w:val="auto"/>
                <w:spacing w:val="-1"/>
                <w:position w:val="6"/>
                <w:sz w:val="21"/>
                <w:szCs w:val="21"/>
                <w:lang w:val="en-US" w:eastAsia="zh-CN"/>
              </w:rPr>
              <w:t>.戈阳.罗有随.吕学利.马云亭</w:t>
            </w:r>
          </w:p>
          <w:p>
            <w:pPr>
              <w:spacing w:line="218" w:lineRule="auto"/>
              <w:ind w:left="197"/>
              <w:rPr>
                <w:rFonts w:hint="eastAsia" w:ascii="仿宋" w:hAnsi="仿宋" w:eastAsia="仿宋" w:cs="仿宋"/>
                <w:color w:val="auto"/>
                <w:sz w:val="21"/>
                <w:szCs w:val="21"/>
                <w:lang w:eastAsia="zh-CN"/>
              </w:rPr>
            </w:pPr>
            <w:r>
              <w:rPr>
                <w:rFonts w:hint="eastAsia" w:ascii="仿宋" w:hAnsi="仿宋" w:eastAsia="仿宋" w:cs="仿宋"/>
                <w:color w:val="auto"/>
                <w:spacing w:val="-1"/>
                <w:sz w:val="21"/>
                <w:szCs w:val="21"/>
              </w:rPr>
              <w:t>牵头单位：</w:t>
            </w:r>
            <w:r>
              <w:rPr>
                <w:rFonts w:hint="eastAsia" w:ascii="仿宋" w:hAnsi="仿宋" w:eastAsia="仿宋" w:cs="仿宋"/>
                <w:color w:val="auto"/>
                <w:spacing w:val="-1"/>
                <w:sz w:val="21"/>
                <w:szCs w:val="21"/>
                <w:lang w:eastAsia="zh-CN"/>
              </w:rPr>
              <w:t>局办公室</w:t>
            </w:r>
          </w:p>
          <w:p>
            <w:pPr>
              <w:spacing w:before="48" w:line="220" w:lineRule="auto"/>
              <w:ind w:left="197"/>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rPr>
              <w:t>落实</w:t>
            </w:r>
            <w:r>
              <w:rPr>
                <w:rFonts w:hint="eastAsia" w:ascii="仿宋" w:hAnsi="仿宋" w:eastAsia="仿宋" w:cs="仿宋"/>
                <w:color w:val="auto"/>
                <w:spacing w:val="-1"/>
                <w:sz w:val="21"/>
                <w:szCs w:val="21"/>
                <w:lang w:eastAsia="zh-CN"/>
              </w:rPr>
              <w:t>责任</w:t>
            </w:r>
            <w:r>
              <w:rPr>
                <w:rFonts w:hint="eastAsia" w:ascii="仿宋" w:hAnsi="仿宋" w:eastAsia="仿宋" w:cs="仿宋"/>
                <w:color w:val="auto"/>
                <w:spacing w:val="-1"/>
                <w:sz w:val="21"/>
                <w:szCs w:val="21"/>
              </w:rPr>
              <w:t>单位：</w:t>
            </w:r>
            <w:r>
              <w:rPr>
                <w:rFonts w:hint="eastAsia" w:ascii="仿宋" w:hAnsi="仿宋" w:eastAsia="仿宋" w:cs="仿宋"/>
                <w:color w:val="auto"/>
                <w:spacing w:val="-1"/>
                <w:sz w:val="21"/>
                <w:szCs w:val="21"/>
                <w:lang w:eastAsia="zh-CN"/>
              </w:rPr>
              <w:t>全局各股所</w:t>
            </w:r>
          </w:p>
          <w:p>
            <w:pPr>
              <w:pStyle w:val="5"/>
              <w:ind w:firstLine="208" w:firstLineChars="100"/>
              <w:rPr>
                <w:rFonts w:hint="eastAsia" w:ascii="仿宋" w:hAnsi="仿宋" w:eastAsia="仿宋" w:cs="仿宋"/>
                <w:color w:val="auto"/>
                <w:sz w:val="21"/>
                <w:szCs w:val="21"/>
              </w:rPr>
            </w:pPr>
            <w:r>
              <w:rPr>
                <w:rFonts w:hint="eastAsia" w:ascii="仿宋" w:hAnsi="仿宋" w:eastAsia="仿宋" w:cs="仿宋"/>
                <w:color w:val="auto"/>
                <w:spacing w:val="-1"/>
                <w:sz w:val="21"/>
                <w:szCs w:val="21"/>
                <w:lang w:eastAsia="zh-CN"/>
              </w:rPr>
              <w:t>整改责任人：全局各股所主要负责人</w:t>
            </w:r>
          </w:p>
        </w:tc>
        <w:tc>
          <w:tcPr>
            <w:tcW w:w="1215" w:type="dxa"/>
            <w:vAlign w:val="top"/>
          </w:tcPr>
          <w:p>
            <w:pPr>
              <w:pStyle w:val="5"/>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立行立改，</w:t>
            </w:r>
          </w:p>
          <w:p>
            <w:pPr>
              <w:pStyle w:val="5"/>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lang w:val="en-US" w:eastAsia="zh-CN"/>
              </w:rPr>
              <w:t>2024年5月底前取得明显成效并</w:t>
            </w:r>
            <w:r>
              <w:rPr>
                <w:rFonts w:hint="eastAsia" w:ascii="仿宋" w:hAnsi="仿宋" w:eastAsia="仿宋" w:cs="仿宋"/>
                <w:color w:val="auto"/>
                <w:sz w:val="21"/>
                <w:szCs w:val="21"/>
                <w:lang w:eastAsia="zh-CN"/>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2338" w:type="dxa"/>
            <w:gridSpan w:val="2"/>
            <w:vAlign w:val="center"/>
          </w:tcPr>
          <w:p>
            <w:pPr>
              <w:spacing w:before="322" w:line="221" w:lineRule="auto"/>
              <w:ind w:left="704"/>
              <w:jc w:val="center"/>
              <w:rPr>
                <w:rFonts w:hint="eastAsia" w:ascii="仿宋" w:hAnsi="仿宋" w:eastAsia="仿宋" w:cs="仿宋"/>
                <w:color w:val="auto"/>
                <w:sz w:val="21"/>
                <w:szCs w:val="21"/>
              </w:rPr>
            </w:pPr>
            <w:r>
              <w:rPr>
                <w:rFonts w:hint="eastAsia" w:ascii="仿宋" w:hAnsi="仿宋" w:eastAsia="仿宋" w:cs="仿宋"/>
                <w:color w:val="auto"/>
                <w:spacing w:val="6"/>
                <w:sz w:val="21"/>
                <w:szCs w:val="21"/>
              </w:rPr>
              <w:t>合计</w:t>
            </w:r>
          </w:p>
        </w:tc>
        <w:tc>
          <w:tcPr>
            <w:tcW w:w="1125" w:type="dxa"/>
            <w:vAlign w:val="top"/>
          </w:tcPr>
          <w:p>
            <w:pPr>
              <w:spacing w:before="321" w:line="220" w:lineRule="auto"/>
              <w:ind w:left="351"/>
              <w:rPr>
                <w:rFonts w:hint="eastAsia" w:ascii="仿宋" w:hAnsi="仿宋" w:eastAsia="仿宋" w:cs="仿宋"/>
                <w:color w:val="auto"/>
                <w:sz w:val="21"/>
                <w:szCs w:val="21"/>
              </w:rPr>
            </w:pPr>
            <w:r>
              <w:rPr>
                <w:rFonts w:hint="eastAsia" w:ascii="仿宋" w:hAnsi="仿宋" w:eastAsia="仿宋" w:cs="仿宋"/>
                <w:color w:val="auto"/>
                <w:spacing w:val="-2"/>
                <w:sz w:val="21"/>
                <w:szCs w:val="21"/>
                <w:lang w:val="en-US" w:eastAsia="zh-CN"/>
              </w:rPr>
              <w:t>共16</w:t>
            </w:r>
            <w:r>
              <w:rPr>
                <w:rFonts w:hint="eastAsia" w:ascii="仿宋" w:hAnsi="仿宋" w:eastAsia="仿宋" w:cs="仿宋"/>
                <w:color w:val="auto"/>
                <w:spacing w:val="-2"/>
                <w:sz w:val="21"/>
                <w:szCs w:val="21"/>
              </w:rPr>
              <w:t>项问题</w:t>
            </w:r>
          </w:p>
        </w:tc>
        <w:tc>
          <w:tcPr>
            <w:tcW w:w="7066" w:type="dxa"/>
            <w:vAlign w:val="center"/>
          </w:tcPr>
          <w:p>
            <w:pPr>
              <w:spacing w:before="140" w:line="464" w:lineRule="exact"/>
              <w:ind w:left="122"/>
              <w:jc w:val="center"/>
              <w:rPr>
                <w:rFonts w:hint="default" w:ascii="仿宋" w:hAnsi="仿宋" w:eastAsia="仿宋" w:cs="仿宋"/>
                <w:color w:val="auto"/>
                <w:sz w:val="21"/>
                <w:szCs w:val="21"/>
                <w:lang w:val="en-US"/>
              </w:rPr>
            </w:pPr>
            <w:r>
              <w:rPr>
                <w:rFonts w:hint="eastAsia" w:ascii="仿宋" w:hAnsi="仿宋" w:eastAsia="仿宋" w:cs="仿宋"/>
                <w:color w:val="auto"/>
                <w:spacing w:val="2"/>
                <w:position w:val="12"/>
                <w:sz w:val="21"/>
                <w:szCs w:val="21"/>
              </w:rPr>
              <w:t>细化分解</w:t>
            </w:r>
            <w:r>
              <w:rPr>
                <w:rFonts w:hint="eastAsia" w:ascii="仿宋" w:hAnsi="仿宋" w:eastAsia="仿宋" w:cs="仿宋"/>
                <w:color w:val="auto"/>
                <w:spacing w:val="2"/>
                <w:position w:val="12"/>
                <w:sz w:val="21"/>
                <w:szCs w:val="21"/>
                <w:lang w:val="en-US" w:eastAsia="zh-CN"/>
              </w:rPr>
              <w:t>为30个具体问题</w:t>
            </w:r>
          </w:p>
        </w:tc>
        <w:tc>
          <w:tcPr>
            <w:tcW w:w="10364" w:type="dxa"/>
            <w:gridSpan w:val="3"/>
            <w:vAlign w:val="top"/>
          </w:tcPr>
          <w:p>
            <w:pPr>
              <w:pStyle w:val="5"/>
              <w:rPr>
                <w:rFonts w:hint="eastAsia" w:ascii="仿宋" w:hAnsi="仿宋" w:eastAsia="仿宋" w:cs="仿宋"/>
                <w:color w:val="auto"/>
                <w:sz w:val="21"/>
                <w:szCs w:val="21"/>
              </w:rPr>
            </w:pPr>
          </w:p>
        </w:tc>
      </w:tr>
    </w:tbl>
    <w:p>
      <w:pPr>
        <w:rPr>
          <w:rFonts w:hint="eastAsia" w:ascii="仿宋" w:hAnsi="仿宋" w:eastAsia="仿宋" w:cs="仿宋"/>
          <w:color w:val="auto"/>
          <w:sz w:val="21"/>
          <w:szCs w:val="21"/>
        </w:rPr>
      </w:pPr>
    </w:p>
    <w:sectPr>
      <w:pgSz w:w="23811" w:h="16838" w:orient="landscape"/>
      <w:pgMar w:top="958" w:right="1440" w:bottom="369"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ZGZkZGFlMTNlZWNiYzg0ODk0MWE3Yzk1MmNhNDQifQ=="/>
  </w:docVars>
  <w:rsids>
    <w:rsidRoot w:val="658E6EAA"/>
    <w:rsid w:val="00692FA7"/>
    <w:rsid w:val="01D80157"/>
    <w:rsid w:val="02005B8D"/>
    <w:rsid w:val="02217FDE"/>
    <w:rsid w:val="031A221D"/>
    <w:rsid w:val="036B4BAC"/>
    <w:rsid w:val="0733430F"/>
    <w:rsid w:val="098731CA"/>
    <w:rsid w:val="09AC7528"/>
    <w:rsid w:val="0BC67500"/>
    <w:rsid w:val="0F9A13CF"/>
    <w:rsid w:val="0FB7580F"/>
    <w:rsid w:val="0FE7675F"/>
    <w:rsid w:val="128A572B"/>
    <w:rsid w:val="15207E98"/>
    <w:rsid w:val="17020D20"/>
    <w:rsid w:val="174C7104"/>
    <w:rsid w:val="175C6F6A"/>
    <w:rsid w:val="18C87522"/>
    <w:rsid w:val="19575C3B"/>
    <w:rsid w:val="1A1D6E85"/>
    <w:rsid w:val="1B662098"/>
    <w:rsid w:val="1DD65CC8"/>
    <w:rsid w:val="20F621DE"/>
    <w:rsid w:val="23C847FA"/>
    <w:rsid w:val="24DC0750"/>
    <w:rsid w:val="253A4D8F"/>
    <w:rsid w:val="25E92311"/>
    <w:rsid w:val="27DA63B5"/>
    <w:rsid w:val="28C0503B"/>
    <w:rsid w:val="298F0205"/>
    <w:rsid w:val="2A41096D"/>
    <w:rsid w:val="2A783C63"/>
    <w:rsid w:val="2AC84BEB"/>
    <w:rsid w:val="301937F3"/>
    <w:rsid w:val="305058C2"/>
    <w:rsid w:val="30BF083E"/>
    <w:rsid w:val="33B25DA9"/>
    <w:rsid w:val="33EA5C95"/>
    <w:rsid w:val="35CD7D52"/>
    <w:rsid w:val="36C13DB6"/>
    <w:rsid w:val="3B471B5C"/>
    <w:rsid w:val="3E085966"/>
    <w:rsid w:val="3E4E44FA"/>
    <w:rsid w:val="3E757402"/>
    <w:rsid w:val="40B27A77"/>
    <w:rsid w:val="468C48C7"/>
    <w:rsid w:val="4AC7411F"/>
    <w:rsid w:val="4B4614E8"/>
    <w:rsid w:val="4B885FA4"/>
    <w:rsid w:val="4C87625C"/>
    <w:rsid w:val="4EAD187E"/>
    <w:rsid w:val="53B86CFB"/>
    <w:rsid w:val="560B70CB"/>
    <w:rsid w:val="57931F59"/>
    <w:rsid w:val="59DB3743"/>
    <w:rsid w:val="59F355A3"/>
    <w:rsid w:val="5CCD657A"/>
    <w:rsid w:val="5CF039A9"/>
    <w:rsid w:val="5F0C439F"/>
    <w:rsid w:val="5F9A5E4E"/>
    <w:rsid w:val="64C03C61"/>
    <w:rsid w:val="656F7435"/>
    <w:rsid w:val="658E6EAA"/>
    <w:rsid w:val="67080B97"/>
    <w:rsid w:val="679A0645"/>
    <w:rsid w:val="679B1A1B"/>
    <w:rsid w:val="6B037312"/>
    <w:rsid w:val="6B32518D"/>
    <w:rsid w:val="6E1D2124"/>
    <w:rsid w:val="6FBF3137"/>
    <w:rsid w:val="72873801"/>
    <w:rsid w:val="72A93F87"/>
    <w:rsid w:val="7399049F"/>
    <w:rsid w:val="76C75323"/>
    <w:rsid w:val="7B927739"/>
    <w:rsid w:val="7BF50860"/>
    <w:rsid w:val="7FDF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2"/>
      <w:szCs w:val="32"/>
      <w:lang w:val="en-US" w:eastAsia="en-US" w:bidi="ar-SA"/>
    </w:r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2024-01-10T02:57:00Z</dcterms:created>
  <dc:creator>马到成功</dc:creator>
  <cp:lastModifiedBy>心之所向便是光</cp:lastModifiedBy>
  <cp:lastPrinted>2024-03-05T07:14:00Z</cp:lastPrinted>
  <dcterms:modified xsi:type="dcterms:W3CDTF">2024-04-09T00:28:41Z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126F8975ABDD411ABCB7474418DB01C7_13</vt:lpwstr>
  </property>
</Properties>
</file>